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四川铁道职业学院协同办公系统升级</w:t>
      </w:r>
      <w:r>
        <w:rPr>
          <w:rFonts w:hint="eastAsia" w:hAnsi="宋体" w:cs="宋体"/>
          <w:bCs/>
          <w:sz w:val="36"/>
          <w:szCs w:val="36"/>
          <w:lang w:eastAsia="zh-CN"/>
        </w:rPr>
        <w:t>服务</w:t>
      </w:r>
      <w:r>
        <w:rPr>
          <w:rFonts w:hint="eastAsia" w:hAnsi="宋体" w:cs="宋体"/>
          <w:bCs/>
          <w:sz w:val="36"/>
          <w:szCs w:val="36"/>
        </w:rPr>
        <w:t>项目</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采购编号：TZY-ZB-</w:t>
      </w:r>
      <w:r>
        <w:rPr>
          <w:rFonts w:hint="eastAsia" w:hAnsi="宋体" w:cs="宋体"/>
          <w:bCs/>
          <w:sz w:val="30"/>
          <w:szCs w:val="30"/>
          <w:lang w:val="en-US" w:eastAsia="zh-CN"/>
        </w:rPr>
        <w:t>2023007</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2023</w:t>
      </w:r>
      <w:r>
        <w:rPr>
          <w:rFonts w:hint="eastAsia" w:hAnsi="宋体" w:cs="宋体"/>
          <w:bCs/>
          <w:sz w:val="30"/>
          <w:szCs w:val="30"/>
          <w:lang w:val="zh-CN"/>
        </w:rPr>
        <w:t>年</w:t>
      </w:r>
      <w:r>
        <w:rPr>
          <w:rFonts w:hint="eastAsia" w:hAnsi="宋体" w:cs="宋体"/>
          <w:bCs/>
          <w:sz w:val="30"/>
          <w:szCs w:val="30"/>
        </w:rPr>
        <w:t xml:space="preserve"> 3 </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4"/>
        <w:snapToGrid w:val="0"/>
        <w:spacing w:before="0" w:after="0" w:line="360" w:lineRule="auto"/>
        <w:jc w:val="center"/>
        <w:rPr>
          <w:rStyle w:val="26"/>
          <w:rFonts w:ascii="宋体" w:hAnsi="宋体" w:cs="宋体"/>
          <w:color w:val="auto"/>
          <w:kern w:val="2"/>
          <w:sz w:val="44"/>
          <w:szCs w:val="44"/>
          <w:u w:val="none"/>
        </w:rPr>
      </w:pPr>
      <w:r>
        <w:rPr>
          <w:rStyle w:val="26"/>
          <w:rFonts w:hint="eastAsia" w:ascii="宋体" w:hAnsi="宋体" w:cs="宋体"/>
          <w:color w:val="auto"/>
          <w:kern w:val="2"/>
          <w:sz w:val="44"/>
          <w:szCs w:val="44"/>
          <w:u w:val="none"/>
        </w:rPr>
        <w:t>目    录</w:t>
      </w:r>
    </w:p>
    <w:p/>
    <w:p>
      <w:pPr>
        <w:pStyle w:val="15"/>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2</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8</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4</w:t>
      </w:r>
    </w:p>
    <w:p>
      <w:pPr>
        <w:pStyle w:val="15"/>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21</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4</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3"/>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四川铁道职业学院协同办公系统升级</w:t>
      </w:r>
      <w:r>
        <w:rPr>
          <w:rFonts w:hint="eastAsia" w:hAnsi="宋体" w:cs="宋体"/>
          <w:bCs/>
          <w:sz w:val="24"/>
          <w:szCs w:val="24"/>
          <w:u w:val="single"/>
          <w:lang w:eastAsia="zh-CN"/>
        </w:rPr>
        <w:t>服务</w:t>
      </w:r>
      <w:r>
        <w:rPr>
          <w:rFonts w:hint="eastAsia" w:hAnsi="宋体" w:cs="宋体"/>
          <w:bCs/>
          <w:sz w:val="24"/>
          <w:szCs w:val="24"/>
          <w:u w:val="single"/>
        </w:rPr>
        <w:t xml:space="preserve"> </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9"/>
        <w:numPr>
          <w:ilvl w:val="0"/>
          <w:numId w:val="2"/>
        </w:numPr>
        <w:snapToGrid w:val="0"/>
        <w:spacing w:line="360" w:lineRule="auto"/>
        <w:ind w:firstLine="441" w:firstLineChars="183"/>
        <w:rPr>
          <w:rFonts w:ascii="宋体" w:hAnsi="宋体" w:cs="宋体"/>
          <w:b/>
          <w:sz w:val="24"/>
          <w:szCs w:val="24"/>
          <w:highlight w:val="none"/>
          <w:u w:val="single"/>
        </w:rPr>
      </w:pPr>
      <w:r>
        <w:rPr>
          <w:rFonts w:hint="eastAsia" w:ascii="宋体" w:hAnsi="宋体" w:cs="宋体"/>
          <w:b/>
          <w:sz w:val="24"/>
          <w:szCs w:val="24"/>
        </w:rPr>
        <w:t>招标编号：</w:t>
      </w:r>
      <w:r>
        <w:rPr>
          <w:rFonts w:hint="eastAsia" w:hAnsi="宋体" w:cs="宋体"/>
          <w:bCs/>
          <w:sz w:val="24"/>
          <w:szCs w:val="24"/>
          <w:highlight w:val="none"/>
          <w:u w:val="single"/>
        </w:rPr>
        <w:t>TZY--ZB-</w:t>
      </w:r>
      <w:r>
        <w:rPr>
          <w:rFonts w:hint="eastAsia" w:hAnsi="宋体" w:cs="宋体"/>
          <w:bCs/>
          <w:sz w:val="24"/>
          <w:szCs w:val="24"/>
          <w:highlight w:val="none"/>
          <w:u w:val="single"/>
          <w:lang w:val="en-US" w:eastAsia="zh-CN"/>
        </w:rPr>
        <w:t>2023007</w:t>
      </w:r>
    </w:p>
    <w:p>
      <w:pPr>
        <w:pStyle w:val="9"/>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招标项目：四川铁道职业学院协同办公系统升级</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highlight w:val="none"/>
        </w:rPr>
      </w:pPr>
      <w:r>
        <w:rPr>
          <w:rFonts w:hint="eastAsia" w:hAnsi="宋体" w:cs="宋体"/>
          <w:sz w:val="24"/>
          <w:szCs w:val="22"/>
        </w:rPr>
        <w:t>7.本项目不接受联合体参与招标。</w:t>
      </w:r>
    </w:p>
    <w:p>
      <w:pPr>
        <w:snapToGrid w:val="0"/>
        <w:spacing w:line="360" w:lineRule="auto"/>
        <w:ind w:firstLine="479" w:firstLineChars="199"/>
        <w:rPr>
          <w:rFonts w:hAnsi="宋体" w:cs="宋体"/>
          <w:sz w:val="24"/>
          <w:szCs w:val="24"/>
          <w:highlight w:val="none"/>
        </w:rPr>
      </w:pPr>
      <w:r>
        <w:rPr>
          <w:rFonts w:hint="eastAsia" w:hAnsi="宋体" w:cs="宋体"/>
          <w:b/>
          <w:sz w:val="24"/>
          <w:szCs w:val="24"/>
          <w:highlight w:val="none"/>
        </w:rPr>
        <w:t xml:space="preserve">六、投标截止时间和开标时间：2023 </w:t>
      </w:r>
      <w:r>
        <w:rPr>
          <w:rFonts w:hint="eastAsia" w:hAnsi="宋体" w:cs="宋体"/>
          <w:bCs/>
          <w:sz w:val="24"/>
          <w:szCs w:val="24"/>
          <w:highlight w:val="none"/>
        </w:rPr>
        <w:t xml:space="preserve">年 </w:t>
      </w:r>
      <w:r>
        <w:rPr>
          <w:rFonts w:hint="eastAsia" w:hAnsi="宋体" w:cs="宋体"/>
          <w:bCs/>
          <w:sz w:val="24"/>
          <w:szCs w:val="24"/>
          <w:highlight w:val="none"/>
          <w:lang w:val="en-US" w:eastAsia="zh-CN"/>
        </w:rPr>
        <w:t>4</w:t>
      </w:r>
      <w:r>
        <w:rPr>
          <w:rFonts w:hint="eastAsia" w:hAnsi="宋体" w:cs="宋体"/>
          <w:bCs/>
          <w:sz w:val="24"/>
          <w:szCs w:val="24"/>
          <w:highlight w:val="none"/>
        </w:rPr>
        <w:t xml:space="preserve">月 </w:t>
      </w:r>
      <w:r>
        <w:rPr>
          <w:rFonts w:hint="eastAsia" w:hAnsi="宋体" w:cs="宋体"/>
          <w:bCs/>
          <w:sz w:val="24"/>
          <w:szCs w:val="24"/>
          <w:highlight w:val="none"/>
          <w:lang w:val="en-US" w:eastAsia="zh-CN"/>
        </w:rPr>
        <w:t>10</w:t>
      </w:r>
      <w:r>
        <w:rPr>
          <w:rFonts w:hint="eastAsia" w:hAnsi="宋体" w:cs="宋体"/>
          <w:bCs/>
          <w:sz w:val="24"/>
          <w:szCs w:val="24"/>
          <w:highlight w:val="none"/>
        </w:rPr>
        <w:t xml:space="preserve">日 10:00  </w:t>
      </w:r>
      <w:r>
        <w:rPr>
          <w:rFonts w:hint="eastAsia" w:hAnsi="宋体" w:cs="宋体"/>
          <w:sz w:val="24"/>
          <w:szCs w:val="24"/>
          <w:highlight w:val="none"/>
        </w:rPr>
        <w:t>（北京时间）。</w:t>
      </w:r>
    </w:p>
    <w:p>
      <w:pPr>
        <w:pStyle w:val="9"/>
        <w:snapToGrid w:val="0"/>
        <w:spacing w:line="360" w:lineRule="auto"/>
        <w:ind w:firstLine="439" w:firstLineChars="183"/>
        <w:rPr>
          <w:rFonts w:ascii="宋体" w:hAnsi="宋体" w:cs="宋体"/>
          <w:sz w:val="24"/>
          <w:szCs w:val="24"/>
          <w:highlight w:val="none"/>
        </w:rPr>
      </w:pPr>
      <w:r>
        <w:rPr>
          <w:rFonts w:hint="eastAsia" w:ascii="宋体" w:hAnsi="宋体" w:cs="宋体"/>
          <w:sz w:val="24"/>
          <w:szCs w:val="24"/>
          <w:highlight w:val="none"/>
        </w:rPr>
        <w:t>投标文件必须在投标截止时间前送达开标地点，并签到（签到地点：</w:t>
      </w:r>
      <w:r>
        <w:rPr>
          <w:rFonts w:hint="eastAsia" w:hAnsi="宋体" w:cs="宋体"/>
          <w:sz w:val="24"/>
          <w:highlight w:val="none"/>
        </w:rPr>
        <w:t>四川成都郫都区安德街道彭温路399号</w:t>
      </w:r>
      <w:r>
        <w:rPr>
          <w:rFonts w:hint="eastAsia" w:ascii="宋体" w:hAnsi="宋体" w:cs="宋体"/>
          <w:sz w:val="24"/>
          <w:szCs w:val="24"/>
          <w:highlight w:val="none"/>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39" w:firstLineChars="183"/>
        <w:rPr>
          <w:rFonts w:ascii="宋体" w:hAnsi="宋体" w:cs="宋体"/>
          <w:sz w:val="24"/>
          <w:szCs w:val="24"/>
          <w:highlight w:val="none"/>
        </w:rPr>
      </w:pPr>
      <w:r>
        <w:rPr>
          <w:rFonts w:hint="eastAsia" w:ascii="宋体" w:hAnsi="宋体" w:cs="宋体"/>
          <w:sz w:val="24"/>
          <w:szCs w:val="24"/>
          <w:highlight w:val="none"/>
        </w:rPr>
        <w:t>特别说明：因疫情期间，为保证安全，服从学校疫情管理，做好个人防护。</w:t>
      </w:r>
    </w:p>
    <w:p>
      <w:pPr>
        <w:pStyle w:val="9"/>
        <w:snapToGrid w:val="0"/>
        <w:spacing w:line="360" w:lineRule="auto"/>
        <w:ind w:firstLine="482" w:firstLineChars="200"/>
        <w:rPr>
          <w:rFonts w:ascii="宋体" w:hAnsi="宋体" w:cs="宋体"/>
          <w:sz w:val="24"/>
          <w:szCs w:val="24"/>
          <w:highlight w:val="none"/>
        </w:rPr>
      </w:pPr>
      <w:r>
        <w:rPr>
          <w:rFonts w:hint="eastAsia" w:hAnsi="宋体" w:cs="宋体"/>
          <w:b/>
          <w:bCs/>
          <w:sz w:val="24"/>
          <w:szCs w:val="24"/>
          <w:highlight w:val="none"/>
        </w:rPr>
        <w:t>七</w:t>
      </w:r>
      <w:r>
        <w:rPr>
          <w:rFonts w:hint="eastAsia" w:ascii="宋体" w:hAnsi="宋体" w:cs="宋体"/>
          <w:b/>
          <w:bCs/>
          <w:sz w:val="24"/>
          <w:szCs w:val="24"/>
          <w:highlight w:val="none"/>
        </w:rPr>
        <w:t>、</w:t>
      </w:r>
      <w:r>
        <w:rPr>
          <w:rFonts w:hint="eastAsia" w:ascii="宋体" w:hAnsi="宋体" w:cs="宋体"/>
          <w:b/>
          <w:kern w:val="0"/>
          <w:sz w:val="24"/>
          <w:szCs w:val="24"/>
          <w:highlight w:val="none"/>
        </w:rPr>
        <w:t>递交投标文件及开标地点</w:t>
      </w:r>
      <w:r>
        <w:rPr>
          <w:rFonts w:hint="eastAsia" w:ascii="宋体" w:hAnsi="宋体" w:cs="宋体"/>
          <w:sz w:val="24"/>
          <w:szCs w:val="24"/>
          <w:highlight w:val="none"/>
        </w:rPr>
        <w:t>：</w:t>
      </w:r>
      <w:r>
        <w:rPr>
          <w:rFonts w:hint="eastAsia" w:hAnsi="宋体" w:cs="宋体"/>
          <w:sz w:val="24"/>
          <w:highlight w:val="none"/>
        </w:rPr>
        <w:t>四川成都郫都区安德街道彭温路399号后勤基建办公区2F开标室</w:t>
      </w:r>
    </w:p>
    <w:p>
      <w:pPr>
        <w:pStyle w:val="58"/>
        <w:snapToGrid w:val="0"/>
        <w:ind w:firstLine="479" w:firstLineChars="199"/>
        <w:rPr>
          <w:rFonts w:hAnsi="宋体" w:cs="宋体"/>
          <w:b/>
          <w:sz w:val="24"/>
          <w:szCs w:val="24"/>
          <w:highlight w:val="none"/>
        </w:rPr>
      </w:pPr>
      <w:r>
        <w:rPr>
          <w:rFonts w:hint="eastAsia" w:hAnsi="宋体" w:cs="宋体"/>
          <w:b/>
          <w:sz w:val="24"/>
          <w:szCs w:val="24"/>
          <w:highlight w:val="none"/>
        </w:rPr>
        <w:t>八、联系方式</w:t>
      </w:r>
    </w:p>
    <w:p>
      <w:pPr>
        <w:pStyle w:val="58"/>
        <w:snapToGrid w:val="0"/>
        <w:ind w:firstLine="950" w:firstLineChars="396"/>
        <w:rPr>
          <w:rFonts w:hAnsi="宋体" w:cs="宋体"/>
          <w:snapToGrid w:val="0"/>
          <w:sz w:val="24"/>
          <w:highlight w:val="none"/>
        </w:rPr>
      </w:pPr>
      <w:r>
        <w:rPr>
          <w:rFonts w:hint="eastAsia" w:hAnsi="宋体" w:cs="宋体"/>
          <w:snapToGrid w:val="0"/>
          <w:sz w:val="24"/>
          <w:highlight w:val="none"/>
        </w:rPr>
        <w:t>采购人：四川铁道职业学院</w:t>
      </w:r>
    </w:p>
    <w:p>
      <w:pPr>
        <w:pStyle w:val="58"/>
        <w:snapToGrid w:val="0"/>
        <w:ind w:firstLine="919" w:firstLineChars="383"/>
        <w:rPr>
          <w:rFonts w:hAnsi="宋体" w:cs="宋体"/>
          <w:sz w:val="24"/>
          <w:highlight w:val="none"/>
        </w:rPr>
      </w:pPr>
      <w:r>
        <w:rPr>
          <w:rFonts w:hint="eastAsia" w:hAnsi="宋体" w:cs="宋体"/>
          <w:bCs/>
          <w:sz w:val="24"/>
          <w:highlight w:val="none"/>
        </w:rPr>
        <w:t xml:space="preserve">地址： </w:t>
      </w:r>
      <w:r>
        <w:rPr>
          <w:rFonts w:hint="eastAsia" w:hAnsi="宋体" w:cs="宋体"/>
          <w:sz w:val="24"/>
          <w:highlight w:val="none"/>
        </w:rPr>
        <w:t>四川成都郫都区安德街道彭温路399号</w:t>
      </w:r>
    </w:p>
    <w:p>
      <w:pPr>
        <w:pStyle w:val="58"/>
        <w:snapToGrid w:val="0"/>
        <w:ind w:firstLine="919" w:firstLineChars="383"/>
        <w:rPr>
          <w:rFonts w:hAnsi="宋体" w:cs="宋体"/>
          <w:sz w:val="24"/>
          <w:highlight w:val="none"/>
        </w:rPr>
      </w:pPr>
      <w:r>
        <w:rPr>
          <w:rFonts w:hint="eastAsia" w:hAnsi="宋体" w:cs="宋体"/>
          <w:sz w:val="24"/>
          <w:highlight w:val="none"/>
        </w:rPr>
        <w:t xml:space="preserve">联系人：贺老师  </w:t>
      </w:r>
      <w:r>
        <w:rPr>
          <w:rFonts w:hint="eastAsia" w:hAnsi="宋体" w:cs="宋体"/>
          <w:sz w:val="24"/>
          <w:highlight w:val="none"/>
          <w:lang w:eastAsia="zh-CN"/>
        </w:rPr>
        <w:t>、童老师</w:t>
      </w:r>
      <w:r>
        <w:rPr>
          <w:rFonts w:hint="eastAsia" w:hAnsi="宋体" w:cs="宋体"/>
          <w:sz w:val="24"/>
          <w:highlight w:val="none"/>
        </w:rPr>
        <w:t xml:space="preserve"> </w:t>
      </w:r>
    </w:p>
    <w:p>
      <w:pPr>
        <w:pStyle w:val="58"/>
        <w:snapToGrid w:val="0"/>
        <w:ind w:firstLine="919" w:firstLineChars="383"/>
        <w:rPr>
          <w:rFonts w:hint="default" w:hAnsi="宋体" w:eastAsia="宋体" w:cs="宋体"/>
          <w:sz w:val="24"/>
          <w:highlight w:val="none"/>
          <w:lang w:val="en-US" w:eastAsia="zh-CN"/>
        </w:rPr>
      </w:pPr>
      <w:r>
        <w:rPr>
          <w:rFonts w:hint="eastAsia" w:hAnsi="宋体" w:cs="宋体"/>
          <w:sz w:val="24"/>
          <w:highlight w:val="none"/>
        </w:rPr>
        <w:t>联系电话：028-68939875</w:t>
      </w:r>
      <w:r>
        <w:rPr>
          <w:rFonts w:hint="eastAsia" w:hAnsi="宋体" w:cs="宋体"/>
          <w:sz w:val="24"/>
          <w:highlight w:val="none"/>
          <w:lang w:eastAsia="zh-CN"/>
        </w:rPr>
        <w:t>、</w:t>
      </w:r>
      <w:r>
        <w:rPr>
          <w:rFonts w:hint="eastAsia" w:hAnsi="宋体" w:cs="宋体"/>
          <w:sz w:val="24"/>
          <w:highlight w:val="none"/>
        </w:rPr>
        <w:t xml:space="preserve">  </w:t>
      </w:r>
      <w:r>
        <w:rPr>
          <w:rFonts w:hint="eastAsia" w:hAnsi="宋体" w:cs="宋体"/>
          <w:sz w:val="24"/>
          <w:highlight w:val="none"/>
          <w:lang w:val="en-US" w:eastAsia="zh-CN"/>
        </w:rPr>
        <w:t>68939922</w:t>
      </w:r>
    </w:p>
    <w:p>
      <w:pPr>
        <w:pStyle w:val="3"/>
        <w:snapToGrid w:val="0"/>
        <w:spacing w:before="0" w:after="0" w:line="360" w:lineRule="auto"/>
        <w:jc w:val="center"/>
        <w:rPr>
          <w:rFonts w:hint="eastAsia" w:hAnsi="宋体" w:cs="宋体"/>
          <w:sz w:val="24"/>
        </w:rPr>
        <w:sectPr>
          <w:footerReference r:id="rId5" w:type="default"/>
          <w:pgSz w:w="11907" w:h="16840"/>
          <w:pgMar w:top="1440" w:right="1080" w:bottom="1440" w:left="1080" w:header="851" w:footer="992" w:gutter="0"/>
          <w:pgNumType w:fmt="decimal" w:start="1"/>
          <w:cols w:space="720" w:num="1"/>
          <w:docGrid w:type="lines" w:linePitch="312" w:charSpace="0"/>
        </w:sectPr>
      </w:pPr>
    </w:p>
    <w:p>
      <w:pPr>
        <w:pStyle w:val="3"/>
        <w:snapToGrid w:val="0"/>
        <w:spacing w:before="0" w:after="0" w:line="360" w:lineRule="auto"/>
        <w:jc w:val="center"/>
        <w:rPr>
          <w:rFonts w:hAnsi="宋体" w:cs="宋体"/>
          <w:sz w:val="30"/>
          <w:szCs w:val="30"/>
        </w:rPr>
      </w:pPr>
      <w:r>
        <w:rPr>
          <w:rFonts w:hint="eastAsia" w:hAnsi="宋体" w:cs="宋体"/>
          <w:sz w:val="24"/>
        </w:rPr>
        <w:t xml:space="preserve"> </w:t>
      </w:r>
      <w:bookmarkStart w:id="5" w:name="_Toc217446031"/>
      <w:bookmarkStart w:id="6" w:name="_Toc213396945"/>
      <w:bookmarkStart w:id="7" w:name="_Toc213396759"/>
      <w:bookmarkStart w:id="8" w:name="_Toc213397009"/>
      <w:bookmarkStart w:id="9" w:name="_Toc213496267"/>
      <w:bookmarkStart w:id="10" w:name="_Toc358883242"/>
      <w:r>
        <w:rPr>
          <w:rFonts w:hint="eastAsia" w:hAnsi="宋体" w:cs="宋体"/>
          <w:sz w:val="30"/>
          <w:szCs w:val="30"/>
        </w:rPr>
        <w:t>第二章  投标人须知</w:t>
      </w:r>
      <w:bookmarkEnd w:id="5"/>
      <w:bookmarkEnd w:id="6"/>
      <w:bookmarkEnd w:id="7"/>
      <w:bookmarkEnd w:id="8"/>
      <w:bookmarkEnd w:id="9"/>
      <w:bookmarkEnd w:id="10"/>
    </w:p>
    <w:p>
      <w:pPr>
        <w:pStyle w:val="4"/>
        <w:snapToGrid w:val="0"/>
        <w:spacing w:before="0" w:after="0" w:line="360" w:lineRule="auto"/>
        <w:jc w:val="center"/>
        <w:rPr>
          <w:rFonts w:ascii="宋体" w:hAnsi="宋体" w:eastAsia="宋体" w:cs="宋体"/>
          <w:sz w:val="30"/>
          <w:szCs w:val="30"/>
        </w:rPr>
      </w:pPr>
      <w:bookmarkStart w:id="11" w:name="_Toc217446032"/>
      <w:bookmarkStart w:id="12" w:name="_Toc189727030"/>
      <w:bookmarkStart w:id="13" w:name="_Toc213496268"/>
      <w:bookmarkStart w:id="14" w:name="_Toc213396946"/>
      <w:bookmarkStart w:id="15" w:name="_Toc213397010"/>
      <w:bookmarkStart w:id="16" w:name="_Toc21339676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60"/>
              <w:snapToGrid w:val="0"/>
              <w:spacing w:line="360" w:lineRule="auto"/>
              <w:ind w:firstLine="240" w:firstLineChars="100"/>
              <w:rPr>
                <w:lang w:val="zh-CN"/>
              </w:rPr>
            </w:pPr>
            <w:r>
              <w:rPr>
                <w:rFonts w:hint="eastAsia"/>
                <w:lang w:val="zh-CN"/>
              </w:rPr>
              <w:t>联 系 人：贺老师、童老师</w:t>
            </w:r>
          </w:p>
          <w:p>
            <w:pPr>
              <w:pStyle w:val="60"/>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028-68939875</w:t>
            </w:r>
            <w:r>
              <w:rPr>
                <w:rFonts w:hint="eastAsia"/>
                <w:lang w:eastAsia="zh-CN"/>
              </w:rPr>
              <w:t>、</w:t>
            </w:r>
            <w:r>
              <w:rPr>
                <w:rFonts w:hint="eastAsia"/>
                <w:lang w:val="en-US" w:eastAsia="zh-CN"/>
              </w:rPr>
              <w:t>68939922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0"/>
              <w:snapToGrid w:val="0"/>
              <w:spacing w:line="360" w:lineRule="auto"/>
              <w:ind w:firstLine="240" w:firstLineChars="100"/>
              <w:rPr>
                <w:rFonts w:hint="eastAsia" w:eastAsia="宋体"/>
                <w:lang w:eastAsia="zh-CN"/>
              </w:rPr>
            </w:pPr>
            <w:r>
              <w:t>四川铁道职业学院协同办公系统升级</w:t>
            </w:r>
            <w:r>
              <w:rPr>
                <w:rFonts w:hint="eastAsia"/>
                <w:lang w:eastAsia="zh-CN"/>
              </w:rPr>
              <w:t>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highlight w:val="none"/>
                <w:lang w:val="zh-CN"/>
              </w:rPr>
            </w:pPr>
            <w:r>
              <w:rPr>
                <w:rFonts w:hint="eastAsia"/>
                <w:highlight w:val="none"/>
                <w:lang w:val="zh-CN"/>
              </w:rPr>
              <w:t>招标编号</w:t>
            </w:r>
          </w:p>
        </w:tc>
        <w:tc>
          <w:tcPr>
            <w:tcW w:w="6819" w:type="dxa"/>
            <w:vAlign w:val="center"/>
          </w:tcPr>
          <w:p>
            <w:pPr>
              <w:pStyle w:val="60"/>
              <w:snapToGrid w:val="0"/>
              <w:spacing w:line="360" w:lineRule="auto"/>
              <w:rPr>
                <w:rFonts w:hint="default" w:eastAsia="宋体"/>
                <w:highlight w:val="none"/>
                <w:lang w:val="en-US" w:eastAsia="zh-CN"/>
              </w:rPr>
            </w:pPr>
            <w:r>
              <w:rPr>
                <w:rFonts w:hint="eastAsia"/>
                <w:highlight w:val="none"/>
              </w:rPr>
              <w:t>TZY-ZB-2023</w:t>
            </w:r>
            <w:r>
              <w:rPr>
                <w:rFonts w:hint="eastAsia"/>
                <w:highlight w:val="none"/>
                <w:lang w:val="en-US" w:eastAsia="zh-CN"/>
              </w:rPr>
              <w:t>007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pPr>
            <w:r>
              <w:rPr>
                <w:rFonts w:hint="eastAsia"/>
                <w:lang w:val="en-US" w:eastAsia="zh-CN"/>
              </w:rPr>
              <w:t>17</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highlight w:val="yellow"/>
                <w:lang w:val="zh-CN"/>
              </w:rPr>
            </w:pPr>
            <w:r>
              <w:rPr>
                <w:rFonts w:hint="eastAsia"/>
                <w:lang w:val="zh-CN"/>
              </w:rPr>
              <w:t>时间：</w:t>
            </w:r>
            <w:r>
              <w:rPr>
                <w:rFonts w:hint="eastAsia"/>
              </w:rPr>
              <w:t xml:space="preserve">2023 </w:t>
            </w:r>
            <w:r>
              <w:rPr>
                <w:rFonts w:hint="eastAsia"/>
                <w:lang w:val="zh-CN"/>
              </w:rPr>
              <w:t>年</w:t>
            </w:r>
            <w:r>
              <w:rPr>
                <w:rFonts w:hint="eastAsia"/>
                <w:highlight w:val="none"/>
              </w:rPr>
              <w:t xml:space="preserve"> </w:t>
            </w:r>
            <w:r>
              <w:rPr>
                <w:rFonts w:hint="eastAsia"/>
                <w:highlight w:val="none"/>
                <w:lang w:val="en-US" w:eastAsia="zh-CN"/>
              </w:rPr>
              <w:t>4</w:t>
            </w:r>
            <w:r>
              <w:rPr>
                <w:rFonts w:hint="eastAsia"/>
                <w:highlight w:val="none"/>
              </w:rPr>
              <w:t xml:space="preserve">月 </w:t>
            </w:r>
            <w:r>
              <w:rPr>
                <w:rFonts w:hint="eastAsia"/>
                <w:highlight w:val="none"/>
                <w:lang w:val="en-US" w:eastAsia="zh-CN"/>
              </w:rPr>
              <w:t>10</w:t>
            </w:r>
            <w:r>
              <w:rPr>
                <w:rFonts w:hint="eastAsia"/>
                <w:highlight w:val="none"/>
              </w:rPr>
              <w:t xml:space="preserve"> </w:t>
            </w:r>
            <w:r>
              <w:rPr>
                <w:rFonts w:hint="eastAsia"/>
                <w:highlight w:val="none"/>
                <w:lang w:val="zh-CN"/>
              </w:rPr>
              <w:t>日</w:t>
            </w:r>
            <w:r>
              <w:rPr>
                <w:rFonts w:hint="eastAsia"/>
                <w:highlight w:val="none"/>
              </w:rPr>
              <w:t>10:00</w:t>
            </w:r>
            <w:r>
              <w:rPr>
                <w:rFonts w:hint="eastAsia"/>
                <w:lang w:val="zh-CN"/>
              </w:rPr>
              <w:t>（北京时间）</w:t>
            </w:r>
          </w:p>
          <w:p>
            <w:pPr>
              <w:pStyle w:val="60"/>
              <w:snapToGrid w:val="0"/>
              <w:spacing w:line="360" w:lineRule="auto"/>
              <w:ind w:firstLine="240" w:firstLineChars="100"/>
            </w:pPr>
            <w:r>
              <w:rPr>
                <w:rFonts w:hint="eastAsia"/>
                <w:lang w:val="zh-CN"/>
              </w:rPr>
              <w:t>地点：</w:t>
            </w:r>
            <w:r>
              <w:rPr>
                <w:rFonts w:hint="eastAsia"/>
              </w:rPr>
              <w:t>四川成都郫都区安德街道彭温路399号后勤基建办公区2F开标室</w:t>
            </w: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17" w:name="_Toc89075875"/>
      <w:bookmarkStart w:id="18" w:name="_Toc183682346"/>
      <w:bookmarkStart w:id="19" w:name="_Toc217446038"/>
      <w:bookmarkStart w:id="20" w:name="_Toc183582209"/>
      <w:bookmarkStart w:id="21" w:name="_Toc77400779"/>
      <w:r>
        <w:rPr>
          <w:rFonts w:hint="eastAsia" w:ascii="宋体" w:hAnsi="宋体" w:eastAsia="宋体" w:cs="宋体"/>
          <w:sz w:val="30"/>
          <w:szCs w:val="30"/>
        </w:rPr>
        <w:t>二、招标文件</w:t>
      </w:r>
      <w:bookmarkEnd w:id="17"/>
      <w:bookmarkEnd w:id="18"/>
      <w:bookmarkEnd w:id="19"/>
      <w:bookmarkEnd w:id="20"/>
      <w:bookmarkEnd w:id="21"/>
    </w:p>
    <w:p>
      <w:pPr>
        <w:pStyle w:val="5"/>
        <w:snapToGrid w:val="0"/>
        <w:spacing w:before="0" w:after="0" w:line="360" w:lineRule="auto"/>
        <w:ind w:firstLine="161" w:firstLineChars="67"/>
        <w:rPr>
          <w:rFonts w:hAnsi="宋体" w:cs="宋体"/>
          <w:sz w:val="24"/>
          <w:szCs w:val="24"/>
        </w:rPr>
      </w:pPr>
      <w:bookmarkStart w:id="22" w:name="_Toc183582210"/>
      <w:bookmarkStart w:id="23" w:name="_Toc217446039"/>
      <w:bookmarkStart w:id="24" w:name="_Toc183682347"/>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28" w:name="_Toc77400780"/>
      <w:bookmarkStart w:id="29" w:name="_Toc89075876"/>
      <w:bookmarkStart w:id="30" w:name="_Toc217446042"/>
      <w:bookmarkStart w:id="31" w:name="_Toc183682351"/>
      <w:bookmarkStart w:id="32" w:name="_Toc183582214"/>
      <w:r>
        <w:rPr>
          <w:rFonts w:hint="eastAsia" w:ascii="宋体" w:hAnsi="宋体" w:eastAsia="宋体" w:cs="宋体"/>
          <w:sz w:val="30"/>
          <w:szCs w:val="30"/>
        </w:rPr>
        <w:t>三、投标文件</w:t>
      </w:r>
      <w:bookmarkEnd w:id="28"/>
      <w:bookmarkEnd w:id="29"/>
      <w:bookmarkEnd w:id="30"/>
      <w:bookmarkEnd w:id="31"/>
      <w:bookmarkEnd w:id="32"/>
    </w:p>
    <w:p>
      <w:pPr>
        <w:pStyle w:val="5"/>
        <w:snapToGrid w:val="0"/>
        <w:spacing w:before="0" w:after="0" w:line="360" w:lineRule="auto"/>
        <w:ind w:firstLine="161" w:firstLineChars="67"/>
        <w:rPr>
          <w:rFonts w:hAnsi="宋体" w:cs="宋体"/>
          <w:sz w:val="24"/>
          <w:szCs w:val="24"/>
        </w:rPr>
      </w:pPr>
      <w:bookmarkStart w:id="33" w:name="_Toc183582215"/>
      <w:bookmarkStart w:id="34" w:name="_Toc183682352"/>
      <w:bookmarkStart w:id="35" w:name="_Toc217446043"/>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5"/>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5"/>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5"/>
        <w:snapToGrid w:val="0"/>
        <w:spacing w:before="0" w:after="0" w:line="360" w:lineRule="auto"/>
        <w:ind w:firstLine="161" w:firstLineChars="67"/>
        <w:rPr>
          <w:rFonts w:hAnsi="宋体" w:cs="宋体"/>
          <w:sz w:val="24"/>
          <w:szCs w:val="24"/>
        </w:rPr>
      </w:pPr>
      <w:bookmarkStart w:id="38" w:name="_Toc183682354"/>
      <w:bookmarkStart w:id="39" w:name="_Toc217446048"/>
      <w:bookmarkStart w:id="40" w:name="_Toc183582217"/>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217446049"/>
      <w:bookmarkStart w:id="44" w:name="_Toc183582218"/>
      <w:bookmarkStart w:id="45" w:name="_Toc183682355"/>
      <w:r>
        <w:rPr>
          <w:rFonts w:hint="eastAsia" w:hAnsi="宋体" w:cs="宋体"/>
          <w:sz w:val="24"/>
          <w:szCs w:val="24"/>
        </w:rPr>
        <w:t>。</w:t>
      </w:r>
    </w:p>
    <w:p>
      <w:pPr>
        <w:pStyle w:val="5"/>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9"/>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9"/>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5"/>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5"/>
        <w:snapToGrid w:val="0"/>
        <w:spacing w:before="0" w:after="0" w:line="360" w:lineRule="auto"/>
        <w:ind w:firstLine="161" w:firstLineChars="67"/>
        <w:rPr>
          <w:rFonts w:hAnsi="宋体" w:cs="宋体"/>
          <w:sz w:val="24"/>
          <w:szCs w:val="24"/>
        </w:rPr>
      </w:pPr>
      <w:bookmarkStart w:id="46" w:name="_Toc183582224"/>
      <w:bookmarkStart w:id="47" w:name="_Toc183682361"/>
      <w:bookmarkStart w:id="48" w:name="_Toc21744605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5"/>
        <w:snapToGrid w:val="0"/>
        <w:spacing w:before="0" w:after="0" w:line="360" w:lineRule="auto"/>
        <w:ind w:firstLine="161" w:firstLineChars="67"/>
        <w:rPr>
          <w:rFonts w:hAnsi="宋体" w:cs="宋体"/>
          <w:sz w:val="24"/>
          <w:szCs w:val="24"/>
        </w:rPr>
      </w:pPr>
      <w:bookmarkStart w:id="49" w:name="_Toc183582226"/>
      <w:bookmarkStart w:id="50" w:name="_Toc89075877"/>
      <w:bookmarkStart w:id="51" w:name="_Toc183682363"/>
      <w:bookmarkStart w:id="52" w:name="_Toc77400781"/>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5"/>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5"/>
        <w:snapToGrid w:val="0"/>
        <w:spacing w:before="0" w:after="0" w:line="360" w:lineRule="auto"/>
        <w:ind w:firstLine="161" w:firstLineChars="67"/>
        <w:rPr>
          <w:rFonts w:hAnsi="宋体" w:cs="宋体"/>
          <w:sz w:val="24"/>
          <w:szCs w:val="24"/>
        </w:rPr>
      </w:pPr>
      <w:bookmarkStart w:id="57" w:name="_Toc183682365"/>
      <w:bookmarkStart w:id="58" w:name="_Toc183582228"/>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89075878"/>
      <w:bookmarkStart w:id="61" w:name="_Toc77400782"/>
      <w:bookmarkStart w:id="62" w:name="_Toc183582231"/>
      <w:bookmarkStart w:id="63" w:name="_Toc217446056"/>
      <w:bookmarkStart w:id="64" w:name="_Toc18368236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183582232"/>
      <w:bookmarkStart w:id="67" w:name="_Toc217446057"/>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4"/>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4"/>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4"/>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4"/>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6"/>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6"/>
        <w:snapToGrid w:val="0"/>
        <w:spacing w:line="360" w:lineRule="auto"/>
        <w:ind w:firstLine="160" w:firstLineChars="67"/>
        <w:rPr>
          <w:rFonts w:hAnsi="宋体" w:cs="宋体"/>
          <w:sz w:val="24"/>
        </w:rPr>
      </w:pPr>
      <w:r>
        <w:rPr>
          <w:rFonts w:hint="eastAsia" w:hAnsi="宋体" w:cs="宋体"/>
          <w:sz w:val="24"/>
        </w:rPr>
        <w:t>（1）提供虚假材料谋取中标；</w:t>
      </w:r>
    </w:p>
    <w:p>
      <w:pPr>
        <w:pStyle w:val="6"/>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6"/>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6"/>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6"/>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6"/>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6"/>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1"/>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4"/>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6"/>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在招标投标过程中，如有任何质疑，可向四川铁道职业学院纪检监察室询问，联系电话：028-68939875。</w:t>
      </w:r>
      <w:bookmarkStart w:id="84" w:name="_Toc358883243"/>
    </w:p>
    <w:p>
      <w:pPr>
        <w:pStyle w:val="11"/>
        <w:snapToGrid w:val="0"/>
        <w:spacing w:line="360" w:lineRule="auto"/>
        <w:ind w:firstLine="480" w:firstLineChars="200"/>
        <w:rPr>
          <w:rFonts w:hAnsi="宋体" w:cs="宋体"/>
          <w:sz w:val="24"/>
        </w:rPr>
      </w:pPr>
    </w:p>
    <w:p>
      <w:pPr>
        <w:pStyle w:val="11"/>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rPr>
          <w:rFonts w:ascii="Times New Roman"/>
        </w:rPr>
      </w:pPr>
    </w:p>
    <w:p>
      <w:pPr>
        <w:pStyle w:val="3"/>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4"/>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1"/>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1"/>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1"/>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0041691"/>
      <w:bookmarkStart w:id="88" w:name="_Toc256175382"/>
      <w:bookmarkStart w:id="89" w:name="_Toc237145385"/>
      <w:bookmarkStart w:id="90" w:name="_Toc297204985"/>
      <w:bookmarkStart w:id="91" w:name="_Toc263768864"/>
      <w:bookmarkStart w:id="92" w:name="_Toc263753600"/>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pgNumType w:fmt="decimal"/>
          <w:cols w:space="720" w:num="1"/>
          <w:docGrid w:type="lines" w:linePitch="312" w:charSpace="0"/>
        </w:sectPr>
      </w:pPr>
    </w:p>
    <w:bookmarkEnd w:id="93"/>
    <w:p>
      <w:pPr>
        <w:pStyle w:val="4"/>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pgNumType w:fmt="decimal"/>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96"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4"/>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rPr>
      </w:pPr>
      <w:r>
        <w:rPr>
          <w:rFonts w:hint="eastAsia" w:hAnsi="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pgNumType w:fmt="decimal"/>
          <w:cols w:space="720" w:num="1"/>
          <w:docGrid w:type="lines" w:linePitch="473" w:charSpace="0"/>
        </w:sectPr>
      </w:pPr>
    </w:p>
    <w:p>
      <w:pPr>
        <w:pStyle w:val="3"/>
        <w:snapToGrid w:val="0"/>
        <w:spacing w:before="0" w:after="283" w:afterLines="60" w:line="360" w:lineRule="auto"/>
        <w:jc w:val="center"/>
        <w:rPr>
          <w:rFonts w:hAnsi="宋体"/>
          <w:sz w:val="32"/>
          <w:szCs w:val="32"/>
        </w:rPr>
      </w:pPr>
      <w:bookmarkStart w:id="97" w:name="_Hlk42504294"/>
    </w:p>
    <w:bookmarkEnd w:id="97"/>
    <w:p>
      <w:pPr>
        <w:pStyle w:val="3"/>
        <w:snapToGrid w:val="0"/>
        <w:spacing w:before="0" w:after="283" w:afterLines="60" w:line="360" w:lineRule="auto"/>
        <w:jc w:val="center"/>
        <w:rPr>
          <w:rFonts w:hAnsi="宋体"/>
          <w:sz w:val="32"/>
          <w:szCs w:val="32"/>
        </w:rPr>
      </w:pPr>
      <w:r>
        <w:rPr>
          <w:rFonts w:hint="eastAsia" w:hAnsi="宋体"/>
          <w:sz w:val="32"/>
          <w:szCs w:val="32"/>
        </w:rPr>
        <w:t>第四章  招标项目技术、商务及其他要求</w:t>
      </w:r>
    </w:p>
    <w:p>
      <w:pPr>
        <w:snapToGrid w:val="0"/>
        <w:spacing w:line="560" w:lineRule="exact"/>
        <w:textAlignment w:val="baseline"/>
        <w:rPr>
          <w:rFonts w:hAnsi="宋体"/>
          <w:b/>
          <w:sz w:val="24"/>
        </w:rPr>
      </w:pPr>
      <w:r>
        <w:rPr>
          <w:rFonts w:hint="eastAsia" w:hAnsi="宋体"/>
          <w:b/>
          <w:sz w:val="24"/>
        </w:rPr>
        <w:t>（一）项目概述</w:t>
      </w:r>
    </w:p>
    <w:p>
      <w:pPr>
        <w:spacing w:line="300" w:lineRule="auto"/>
        <w:ind w:firstLine="480"/>
        <w:rPr>
          <w:rFonts w:hAnsi="宋体"/>
          <w:sz w:val="24"/>
        </w:rPr>
      </w:pPr>
      <w:r>
        <w:rPr>
          <w:rFonts w:hint="eastAsia" w:hAnsi="宋体"/>
          <w:sz w:val="24"/>
        </w:rPr>
        <w:t>四川铁道职业学院于2014年构建协同办公系统，全面覆盖学校各部门，通过9年多的推广运行，协同办公系统已经成为学院重要的办公平台，支撑着学院流程运转、办公协作、信息传递等办公需求，在规范日常管理、提高工作效率等方面为学院带来了较大的提升。</w:t>
      </w:r>
    </w:p>
    <w:p>
      <w:pPr>
        <w:spacing w:line="300" w:lineRule="auto"/>
        <w:ind w:firstLine="480"/>
        <w:rPr>
          <w:rFonts w:hAnsi="宋体"/>
          <w:sz w:val="24"/>
        </w:rPr>
      </w:pPr>
      <w:r>
        <w:rPr>
          <w:rFonts w:hint="eastAsia" w:hAnsi="宋体"/>
          <w:sz w:val="24"/>
        </w:rPr>
        <w:t>在学院高速发展的背景下，学校对业务管理水平的要求不断提高，当前版本办公系统的功能设计在业务支撑上逐渐局限，院领导、各部门对平台的业务支撑能力提出了更高的期望。同时随着IT技术的不断革新以及受国际环境影响，当前平台在技术先进性、兼容稳定性等方面都亟待升级改造。本次采购项目产品为协同办公系统升级。采购的协同办公系统升级要求对公文、事务、会议、移动端等功能进行升级优化。</w:t>
      </w:r>
    </w:p>
    <w:p>
      <w:pPr>
        <w:snapToGrid w:val="0"/>
        <w:spacing w:line="560" w:lineRule="exact"/>
        <w:textAlignment w:val="baseline"/>
        <w:rPr>
          <w:rFonts w:hAnsi="宋体"/>
          <w:b/>
          <w:sz w:val="24"/>
        </w:rPr>
      </w:pPr>
      <w:r>
        <w:rPr>
          <w:rFonts w:hint="eastAsia" w:hAnsi="宋体"/>
          <w:b/>
          <w:sz w:val="24"/>
        </w:rPr>
        <w:t>（二）本项目采购内容包括</w:t>
      </w:r>
    </w:p>
    <w:p>
      <w:pPr>
        <w:spacing w:line="300" w:lineRule="auto"/>
        <w:ind w:firstLine="482"/>
        <w:rPr>
          <w:rFonts w:hAnsi="宋体"/>
          <w:b/>
          <w:sz w:val="24"/>
        </w:rPr>
      </w:pPr>
      <w:r>
        <w:rPr>
          <w:rFonts w:hint="eastAsia" w:hAnsi="宋体"/>
          <w:b/>
          <w:sz w:val="24"/>
        </w:rPr>
        <w:t>（1）协同办公系统升级 一套</w:t>
      </w:r>
    </w:p>
    <w:p>
      <w:pPr>
        <w:snapToGrid w:val="0"/>
        <w:spacing w:line="560" w:lineRule="exact"/>
        <w:textAlignment w:val="baseline"/>
        <w:rPr>
          <w:rFonts w:hAnsi="宋体"/>
          <w:b/>
          <w:sz w:val="24"/>
        </w:rPr>
      </w:pPr>
      <w:r>
        <w:rPr>
          <w:rFonts w:hint="eastAsia" w:hAnsi="宋体"/>
          <w:b/>
          <w:sz w:val="24"/>
        </w:rPr>
        <w:t>（三）技术部份</w:t>
      </w:r>
    </w:p>
    <w:tbl>
      <w:tblPr>
        <w:tblStyle w:val="7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82"/>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spacing w:line="360" w:lineRule="auto"/>
              <w:jc w:val="center"/>
              <w:rPr>
                <w:rFonts w:ascii="Calibri" w:eastAsiaTheme="minorEastAsia" w:cstheme="minorBidi"/>
                <w:sz w:val="24"/>
              </w:rPr>
            </w:pPr>
            <w:r>
              <w:rPr>
                <w:rFonts w:hint="eastAsia" w:ascii="Calibri" w:eastAsiaTheme="minorEastAsia" w:cstheme="minorBidi"/>
                <w:sz w:val="24"/>
              </w:rPr>
              <w:t>序号</w:t>
            </w:r>
          </w:p>
        </w:tc>
        <w:tc>
          <w:tcPr>
            <w:tcW w:w="1282" w:type="dxa"/>
          </w:tcPr>
          <w:p>
            <w:pPr>
              <w:spacing w:line="360" w:lineRule="auto"/>
              <w:jc w:val="center"/>
              <w:rPr>
                <w:rFonts w:ascii="Calibri" w:eastAsiaTheme="minorEastAsia" w:cstheme="minorBidi"/>
                <w:sz w:val="24"/>
              </w:rPr>
            </w:pPr>
            <w:r>
              <w:rPr>
                <w:rFonts w:hint="eastAsia" w:ascii="Calibri" w:eastAsiaTheme="minorEastAsia" w:cstheme="minorBidi"/>
                <w:sz w:val="24"/>
              </w:rPr>
              <w:t>产品名称</w:t>
            </w:r>
          </w:p>
        </w:tc>
        <w:tc>
          <w:tcPr>
            <w:tcW w:w="6582" w:type="dxa"/>
          </w:tcPr>
          <w:p>
            <w:pPr>
              <w:spacing w:line="360" w:lineRule="auto"/>
              <w:jc w:val="center"/>
              <w:rPr>
                <w:rFonts w:ascii="Calibri" w:eastAsiaTheme="minorEastAsia" w:cstheme="minorBidi"/>
                <w:sz w:val="24"/>
              </w:rPr>
            </w:pPr>
            <w:r>
              <w:rPr>
                <w:rFonts w:hint="eastAsia" w:ascii="Calibri" w:eastAsiaTheme="minorEastAsia" w:cstheme="minorBidi"/>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spacing w:line="360" w:lineRule="auto"/>
              <w:jc w:val="center"/>
              <w:rPr>
                <w:rFonts w:hAnsi="宋体" w:cs="宋体" w:eastAsiaTheme="minorEastAsia"/>
                <w:sz w:val="24"/>
              </w:rPr>
            </w:pPr>
            <w:r>
              <w:rPr>
                <w:rFonts w:hint="eastAsia" w:hAnsi="宋体" w:cs="宋体" w:eastAsiaTheme="minorEastAsia"/>
                <w:sz w:val="24"/>
              </w:rPr>
              <w:t>1</w:t>
            </w:r>
          </w:p>
        </w:tc>
        <w:tc>
          <w:tcPr>
            <w:tcW w:w="1282" w:type="dxa"/>
            <w:vAlign w:val="center"/>
          </w:tcPr>
          <w:p>
            <w:pPr>
              <w:spacing w:line="360" w:lineRule="auto"/>
              <w:jc w:val="center"/>
              <w:rPr>
                <w:rFonts w:hAnsi="宋体" w:cs="宋体" w:eastAsiaTheme="minorEastAsia"/>
                <w:sz w:val="24"/>
              </w:rPr>
            </w:pPr>
            <w:r>
              <w:rPr>
                <w:rFonts w:hint="eastAsia" w:hAnsi="宋体" w:cs="宋体" w:eastAsiaTheme="minorEastAsia"/>
                <w:sz w:val="24"/>
              </w:rPr>
              <w:t>协同办公系统升级</w:t>
            </w:r>
          </w:p>
        </w:tc>
        <w:tc>
          <w:tcPr>
            <w:tcW w:w="6582" w:type="dxa"/>
          </w:tcPr>
          <w:p>
            <w:pPr>
              <w:pStyle w:val="2"/>
              <w:numPr>
                <w:ilvl w:val="0"/>
                <w:numId w:val="6"/>
              </w:numPr>
              <w:spacing w:line="240" w:lineRule="auto"/>
              <w:outlineLvl w:val="3"/>
              <w:rPr>
                <w:rFonts w:eastAsiaTheme="minorEastAsia" w:cstheme="minorBidi"/>
                <w:sz w:val="21"/>
                <w:szCs w:val="21"/>
              </w:rPr>
            </w:pPr>
            <w:r>
              <w:rPr>
                <w:rFonts w:hint="eastAsia" w:eastAsiaTheme="minorEastAsia" w:cstheme="minorBidi"/>
                <w:sz w:val="21"/>
                <w:szCs w:val="21"/>
              </w:rPr>
              <w:t>系统整体要求：</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协同办公系统（A8-V5 V6.1）升级到最新版本，将原平台系统数据及应用全部完整迁移到新的平台，保证升级后数据和应用的完整性。</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提供系统维护工具。</w:t>
            </w:r>
          </w:p>
          <w:p>
            <w:pPr>
              <w:pStyle w:val="2"/>
              <w:numPr>
                <w:ilvl w:val="0"/>
                <w:numId w:val="7"/>
              </w:numPr>
              <w:spacing w:before="0" w:after="0" w:line="240" w:lineRule="auto"/>
              <w:outlineLvl w:val="3"/>
              <w:rPr>
                <w:rFonts w:cs="宋体" w:eastAsiaTheme="minorEastAsia"/>
                <w:b w:val="0"/>
                <w:bCs w:val="0"/>
                <w:color w:val="000000"/>
                <w:sz w:val="21"/>
                <w:szCs w:val="16"/>
              </w:rPr>
            </w:pPr>
            <w:r>
              <w:rPr>
                <w:rFonts w:hint="eastAsia" w:cs="宋体" w:eastAsiaTheme="minorEastAsia"/>
                <w:color w:val="000000"/>
                <w:sz w:val="21"/>
                <w:szCs w:val="16"/>
              </w:rPr>
              <w:t>▲</w:t>
            </w:r>
            <w:r>
              <w:rPr>
                <w:rFonts w:hint="eastAsia" w:cs="宋体" w:eastAsiaTheme="minorEastAsia"/>
                <w:b w:val="0"/>
                <w:bCs w:val="0"/>
                <w:color w:val="000000"/>
                <w:sz w:val="21"/>
                <w:szCs w:val="16"/>
              </w:rPr>
              <w:t>通过本次系统升级，实现单位接收教育厅下发公文时具备消息提醒功能，以便单位内部负责人能够及时接收。</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1.1兼容性：</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系统基于J2EE技术、SOA框架、XML结构化数据设计和webservices数据交换技术等安全技术路线要求；</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支持多种操作系统，如Windows、Linux、Unix等主流操作系统；</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多浏览器支持，如IE、360、chrome、Safari等主流浏览器；</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多种文字处理软件的支持，比如WORD、WPS、PDF文件格式等；</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系统采用Java语言开发，使用SpringMVC架构，兼容主流平台。</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1.2安全性：</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支持用户账号支持与手机设备、IP地址进行绑定，非绑定设备或地址无法登陆系统；</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支持水印安全，包括： PC、移动端查看公告、新闻、文档、通讯录内容时，显示水印；</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三员分离：系统要具有多个系统管理员角色的设计，如系统管理员、应用日志管理员、安全保密管理员，相互制约，任何一个管理员都无法查看使用人员在使用过程中产生的具体数据；</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系统要具备完善的日志管理功能，能够记录各类系统管理员、使用人员的系统操作记录日志；</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人员账号：系统能支持多种人员账号安全保障措施；</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系统具有单独的安全日志记录异常登录、越权访问功能；</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系统支持入侵防范，具体要求如下：支持设置绑定终端设备，绑定终端和用户信息；</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支持一键检测系统内的弱口令用户；支持一键检测SQL注入等安全防御；支持越权访问、CSRF等攻击的拦截和预警。</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1.3集成性</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平台支持完备的开放接口和规范，支持内外开放接口库、组织机构同步、消息/待办集成、单点登录、统一信息门户集成、数据交换等集成服务支持；</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支持第三方标准集成插件，并提供标准的配置化接入功能；</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支持采用分层服务模式提供开放、快捷的集成服务支持，同时对平台的集成任务和数据交换实施全面跟踪和监控。</w:t>
            </w:r>
          </w:p>
          <w:p>
            <w:pPr>
              <w:pStyle w:val="2"/>
              <w:numPr>
                <w:ilvl w:val="0"/>
                <w:numId w:val="6"/>
              </w:numPr>
              <w:spacing w:line="240" w:lineRule="auto"/>
              <w:outlineLvl w:val="3"/>
              <w:rPr>
                <w:rFonts w:eastAsiaTheme="minorEastAsia" w:cstheme="minorBidi"/>
                <w:sz w:val="21"/>
                <w:szCs w:val="21"/>
              </w:rPr>
            </w:pPr>
            <w:r>
              <w:rPr>
                <w:rFonts w:hint="eastAsia" w:eastAsiaTheme="minorEastAsia" w:cstheme="minorBidi"/>
                <w:sz w:val="21"/>
                <w:szCs w:val="21"/>
              </w:rPr>
              <w:t>低代码平台能力：</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2.1组织模型引擎：</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提供完整的权限体系，通过角色、权限的灵活设置，可实现各项功能、各种粒度的权限控制。</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可根据部门/中心组织架构、部门/中心岗位设置、岗位级别、系统角色等，分配应用系统权限体制。</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2.2工作流引擎：</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可视化流程：采用可视化流程配置工具，直观描绘用户的业务流程；建立标准、规范、通用可行的流程管控机制。满足招标人日常工作的业务工作流程审批需求。</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流程版本控制：流程提供对流程的统一版本控制，流程的审批或者审阅者需要某个人的意见做参考时。即同一流程的不同修改都可定义为不同版本，新版本流程的公文起草不影响原有流程的继续流转；</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流程分支功能：引擎可按单位、角色、人员、职务等机构属性，也可按文单中主送单位、发文类型等字段属性，进行分支判断，以实现同一公文登记界面中，办件、阅件不同的流转方式；</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流程复活功能：可将已结束（包括终止）的流程恢复到最后一个处理节点，使得流程可以再次流转；支持由单位管理员及组织管理员，对发文、收文、签报流程复活</w:t>
            </w:r>
            <w:bookmarkStart w:id="98" w:name="_Hlk111280636"/>
            <w:r>
              <w:rPr>
                <w:rFonts w:hint="eastAsia" w:eastAsiaTheme="minorEastAsia" w:cstheme="minorBidi"/>
                <w:b w:val="0"/>
                <w:bCs w:val="0"/>
                <w:sz w:val="21"/>
                <w:szCs w:val="21"/>
              </w:rPr>
              <w:t>；</w:t>
            </w:r>
          </w:p>
          <w:p>
            <w:pPr>
              <w:pStyle w:val="2"/>
              <w:numPr>
                <w:ilvl w:val="0"/>
                <w:numId w:val="7"/>
              </w:numPr>
              <w:spacing w:before="0" w:after="0" w:line="240" w:lineRule="auto"/>
              <w:outlineLvl w:val="3"/>
              <w:rPr>
                <w:rFonts w:cs="宋体" w:eastAsiaTheme="minorEastAsia"/>
                <w:b w:val="0"/>
                <w:bCs w:val="0"/>
                <w:color w:val="000000"/>
                <w:sz w:val="21"/>
                <w:szCs w:val="16"/>
              </w:rPr>
            </w:pPr>
            <w:r>
              <w:rPr>
                <w:rFonts w:hint="eastAsia" w:cs="宋体" w:eastAsiaTheme="minorEastAsia"/>
                <w:color w:val="000000"/>
                <w:sz w:val="21"/>
                <w:szCs w:val="16"/>
              </w:rPr>
              <w:t>▲</w:t>
            </w:r>
            <w:r>
              <w:rPr>
                <w:rFonts w:hint="eastAsia" w:cs="宋体" w:eastAsiaTheme="minorEastAsia"/>
                <w:b w:val="0"/>
                <w:bCs w:val="0"/>
                <w:color w:val="000000"/>
                <w:sz w:val="21"/>
                <w:szCs w:val="16"/>
              </w:rPr>
              <w:t>流程智能预测功能：基于流程模拟技术及行为大数据的流程预测，预测流程处理人及处理时间。</w:t>
            </w:r>
          </w:p>
          <w:p>
            <w:pPr>
              <w:pStyle w:val="2"/>
              <w:numPr>
                <w:ilvl w:val="0"/>
                <w:numId w:val="7"/>
              </w:numPr>
              <w:spacing w:before="0" w:after="0" w:line="240" w:lineRule="auto"/>
              <w:outlineLvl w:val="3"/>
              <w:rPr>
                <w:rFonts w:cs="宋体" w:eastAsiaTheme="minorEastAsia"/>
                <w:b w:val="0"/>
                <w:bCs w:val="0"/>
                <w:color w:val="000000"/>
                <w:sz w:val="21"/>
                <w:szCs w:val="16"/>
              </w:rPr>
            </w:pPr>
            <w:r>
              <w:rPr>
                <w:rFonts w:hint="eastAsia" w:cs="宋体" w:eastAsiaTheme="minorEastAsia"/>
                <w:b w:val="0"/>
                <w:bCs w:val="0"/>
                <w:color w:val="000000"/>
                <w:sz w:val="21"/>
                <w:szCs w:val="16"/>
              </w:rPr>
              <w:t>流程仿真测试功能：通过IT工具实现的流程模拟运行的过程，通过在呈现的流程图中赋予流程要素各种数据，让流程数据按照流程图的方式和逻辑进行模拟现实的运行，然后得出相应的图表报告，可以根据这些报告分析流程的各种指标的优劣。</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支持异常流程日志、处理明细、催办日志和处理人员情况统计查看</w:t>
            </w:r>
            <w:bookmarkEnd w:id="98"/>
            <w:bookmarkStart w:id="99" w:name="_Hlk111280654"/>
            <w:r>
              <w:rPr>
                <w:rFonts w:hint="eastAsia" w:eastAsiaTheme="minorEastAsia" w:cstheme="minorBidi"/>
                <w:b w:val="0"/>
                <w:bCs w:val="0"/>
                <w:sz w:val="21"/>
                <w:szCs w:val="21"/>
              </w:rPr>
              <w:t>；</w:t>
            </w:r>
          </w:p>
          <w:bookmarkEnd w:id="99"/>
          <w:p>
            <w:pPr>
              <w:pStyle w:val="2"/>
              <w:spacing w:line="240" w:lineRule="auto"/>
              <w:outlineLvl w:val="3"/>
              <w:rPr>
                <w:rFonts w:eastAsiaTheme="minorEastAsia" w:cstheme="minorBidi"/>
                <w:sz w:val="21"/>
                <w:szCs w:val="21"/>
              </w:rPr>
            </w:pPr>
            <w:r>
              <w:rPr>
                <w:rFonts w:hint="eastAsia" w:eastAsiaTheme="minorEastAsia" w:cstheme="minorBidi"/>
                <w:sz w:val="21"/>
                <w:szCs w:val="21"/>
              </w:rPr>
              <w:t>2.3门户引擎</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提供可视化、拖拽式门户设计器应用，</w:t>
            </w:r>
            <w:bookmarkStart w:id="100" w:name="_Hlk111285267"/>
            <w:r>
              <w:rPr>
                <w:rFonts w:hint="eastAsia" w:eastAsiaTheme="minorEastAsia" w:cstheme="minorBidi"/>
                <w:b w:val="0"/>
                <w:bCs w:val="0"/>
                <w:sz w:val="21"/>
                <w:szCs w:val="21"/>
              </w:rPr>
              <w:t>提供用户自定义的登录页/首页/空间</w:t>
            </w:r>
            <w:bookmarkEnd w:id="100"/>
            <w:r>
              <w:rPr>
                <w:rFonts w:hint="eastAsia" w:eastAsiaTheme="minorEastAsia" w:cstheme="minorBidi"/>
                <w:b w:val="0"/>
                <w:bCs w:val="0"/>
                <w:sz w:val="21"/>
                <w:szCs w:val="21"/>
              </w:rPr>
              <w:t>，支持多种预制皮肤的灵活切换，满足组织和角色信息呈现的不同要求。</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系统至少提供工作类、业务类、职能类三种至少15套门户模板，可实现门户样式的便捷设置。</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提供门户、栏目等资源组件的下载功能，可对门户样式、栏目样式进行扩展。</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2.4表单引擎：</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提供拖拽式的表单控件设计、控件类型至少包括：基础控件、业务控件、组织控件、辅助类、自定义控件，同时自定义控件支持扩展下载，快速丰富控件内容；</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表单控件也应包括按钮类控件，至少包括：新建表单、创建任务等功能，可实现通过按钮功能快速触发新表单、新任务等；支持表单计算公式的函数自定义，同时自定义的函数必须通过管理员审核后生效；</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提供表单的附件控件，支持附件上传数量控制。</w:t>
            </w:r>
          </w:p>
          <w:p>
            <w:pPr>
              <w:pStyle w:val="2"/>
              <w:numPr>
                <w:ilvl w:val="0"/>
                <w:numId w:val="6"/>
              </w:numPr>
              <w:spacing w:line="240" w:lineRule="auto"/>
              <w:outlineLvl w:val="3"/>
              <w:rPr>
                <w:rFonts w:eastAsiaTheme="minorEastAsia" w:cstheme="minorBidi"/>
                <w:sz w:val="21"/>
                <w:szCs w:val="21"/>
              </w:rPr>
            </w:pPr>
            <w:r>
              <w:rPr>
                <w:rFonts w:hint="eastAsia" w:eastAsiaTheme="minorEastAsia" w:cstheme="minorBidi"/>
                <w:sz w:val="21"/>
                <w:szCs w:val="21"/>
              </w:rPr>
              <w:t>系统功能要求：</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3.1公文优化</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支持公文流转过程中，支持调用公文模板，公文可以通过加签领导、多级会签、回退、终止、续办等应用，支持公文流转过程中的异常情况处理。</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支持文单控件作为流程节点、文单控件作为分支条、流程触发等功能。</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审批意见可以根据部门、日期等进行设置，意见显示格式控制。</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支持对不同领导的批示内容进行编号设置，支持领导签批时身份切换功能。</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具有意见代录功能，代录人员可以代领导录入文件审批意见。</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公文待办分类展示，如阅知类、审批类。</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移动端支持在收文、签报环节可以移动端审批。</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支持经典模式，一屏式的公文文单、正文显示。</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3.2会议优化</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系统支持图形化会议室查看、申请。</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移动端会议详情页面支持多图查看。</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支持会议告知人员可邀请他人，领导可指定参会人。</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支持会议邀请消息提醒显示邀请人姓名，后台记录邀请日志有据可查。</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会议回执支持@，消息提醒被@人员。</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支持会议申请的多级审核。</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支持移动端对会议室申请进行审批。</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3.3流程优化</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提供表单自定义设计器，支持无须写代码，以所见即所得的方式，在本系统中实现表单的自定义，支持B/S图形化方式可以灵活、自由定制表单样式，支持同一单据在电脑端和移动端不同的显示界面。</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提供流程工作中心，至少包括：事务管理、我的流程、流程管理，同时提供可视化的流程效能展示，至少包括：部门效率总览、流程督办监控、我的流程权限、模板流程处理趋势等。</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提供公务人员在进行新建事项时可自行设置调用已配置好的制度流程，同时可查看流程说明书，说明书内容至少包括：模板名称、模板分类、督办人、归属机构、调用范围以及节点权限说明。</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支持审批流程中节点流程处理时间限制，到期提醒，增加流程处理效率；支持重复的节点处理合并;支持流程中任意节点可以指定回退。</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提供模板流程的流程预测能力，至少包括：未完成节点、预计消耗、预计完成时间等内容。</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提供复制填报功能，支持同模板复制历史记录赋值填报。</w:t>
            </w:r>
          </w:p>
          <w:p>
            <w:pPr>
              <w:pStyle w:val="2"/>
              <w:spacing w:line="240" w:lineRule="auto"/>
              <w:outlineLvl w:val="3"/>
              <w:rPr>
                <w:rFonts w:eastAsiaTheme="minorEastAsia" w:cstheme="minorBidi"/>
                <w:sz w:val="21"/>
                <w:szCs w:val="21"/>
              </w:rPr>
            </w:pPr>
            <w:r>
              <w:rPr>
                <w:rFonts w:hint="eastAsia" w:eastAsiaTheme="minorEastAsia" w:cstheme="minorBidi"/>
                <w:sz w:val="21"/>
                <w:szCs w:val="21"/>
              </w:rPr>
              <w:t>3.4移动办公优化</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登录时判断密码强度或密码到期。</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支持自定义移动端的待办分类、重要消息分类。</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移动端支持横屏支持。</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移动端支持字体的放大。</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支持微信端、微信公众号等收到待办工作提醒消息，并进行工作处理。</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支持原单据展示和瀑布式轻表单展示。</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手机端支持文档在线查看。</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eastAsiaTheme="minorEastAsia" w:cstheme="minorBidi"/>
                <w:b w:val="0"/>
                <w:bCs w:val="0"/>
                <w:sz w:val="21"/>
                <w:szCs w:val="21"/>
              </w:rPr>
              <w:t>移动端支持查看内容加水印，比如通讯录、通知公告。</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支持在断网的情况下，仍然可以登录查看移动门户中人员及数据信息。</w:t>
            </w:r>
          </w:p>
          <w:p>
            <w:pPr>
              <w:pStyle w:val="2"/>
              <w:numPr>
                <w:ilvl w:val="0"/>
                <w:numId w:val="7"/>
              </w:numPr>
              <w:spacing w:before="0" w:after="0" w:line="240" w:lineRule="auto"/>
              <w:outlineLvl w:val="3"/>
              <w:rPr>
                <w:rFonts w:eastAsiaTheme="minorEastAsia" w:cstheme="minorBidi"/>
                <w:b w:val="0"/>
                <w:bCs w:val="0"/>
                <w:sz w:val="21"/>
                <w:szCs w:val="21"/>
              </w:rPr>
            </w:pPr>
            <w:r>
              <w:rPr>
                <w:rFonts w:hint="eastAsia" w:cs="宋体" w:eastAsiaTheme="minorEastAsia"/>
                <w:color w:val="000000"/>
                <w:sz w:val="21"/>
                <w:szCs w:val="16"/>
              </w:rPr>
              <w:t>▲</w:t>
            </w:r>
            <w:r>
              <w:rPr>
                <w:rFonts w:hint="eastAsia" w:eastAsiaTheme="minorEastAsia" w:cstheme="minorBidi"/>
                <w:b w:val="0"/>
                <w:bCs w:val="0"/>
                <w:sz w:val="21"/>
                <w:szCs w:val="21"/>
              </w:rPr>
              <w:t>移动端具备一键检测功能，可检测密码强度、当前运行环境、传输方式安全性、APP运行风险评分。</w:t>
            </w:r>
          </w:p>
          <w:p>
            <w:pPr>
              <w:pStyle w:val="2"/>
              <w:spacing w:before="0" w:after="0" w:line="240" w:lineRule="auto"/>
              <w:outlineLvl w:val="3"/>
              <w:rPr>
                <w:rFonts w:cs="宋体" w:eastAsiaTheme="minorEastAsia"/>
                <w:sz w:val="24"/>
              </w:rPr>
            </w:pPr>
          </w:p>
        </w:tc>
      </w:tr>
    </w:tbl>
    <w:p>
      <w:pPr>
        <w:snapToGrid w:val="0"/>
        <w:spacing w:line="560" w:lineRule="exact"/>
        <w:textAlignment w:val="baseline"/>
        <w:rPr>
          <w:rFonts w:hAnsi="宋体"/>
          <w:b/>
          <w:sz w:val="24"/>
        </w:rPr>
      </w:pPr>
      <w:r>
        <w:rPr>
          <w:rFonts w:hint="eastAsia" w:hAnsi="宋体"/>
          <w:b/>
          <w:sz w:val="24"/>
        </w:rPr>
        <w:t>（四）商务要求</w:t>
      </w:r>
    </w:p>
    <w:p>
      <w:pPr>
        <w:spacing w:line="500" w:lineRule="exact"/>
        <w:ind w:firstLine="482"/>
        <w:rPr>
          <w:rFonts w:hAnsi="宋体"/>
          <w:b/>
          <w:bCs/>
          <w:sz w:val="24"/>
        </w:rPr>
      </w:pPr>
      <w:r>
        <w:rPr>
          <w:rFonts w:hint="eastAsia" w:hAnsi="宋体"/>
          <w:b/>
          <w:bCs/>
          <w:sz w:val="24"/>
        </w:rPr>
        <w:t>1．交货期及地点</w:t>
      </w:r>
    </w:p>
    <w:p>
      <w:pPr>
        <w:spacing w:line="520" w:lineRule="exact"/>
        <w:ind w:firstLine="480"/>
        <w:rPr>
          <w:rFonts w:hAnsi="宋体"/>
          <w:sz w:val="24"/>
        </w:rPr>
      </w:pPr>
      <w:r>
        <w:rPr>
          <w:rFonts w:hint="eastAsia" w:hAnsi="宋体"/>
          <w:sz w:val="24"/>
        </w:rPr>
        <w:t>1.1 交货期：协同办公系统于合同签订后30日内完成产品交付，使产品投入正常使用；</w:t>
      </w:r>
    </w:p>
    <w:p>
      <w:pPr>
        <w:spacing w:line="520" w:lineRule="exact"/>
        <w:ind w:firstLine="480"/>
        <w:rPr>
          <w:rFonts w:hAnsi="宋体"/>
          <w:sz w:val="24"/>
        </w:rPr>
      </w:pPr>
      <w:r>
        <w:rPr>
          <w:rFonts w:hint="eastAsia" w:hAnsi="宋体"/>
          <w:sz w:val="24"/>
        </w:rPr>
        <w:t>1.2 交货地点: 成都市郫县安德镇彭温路399号（即：四川铁道职业学院安德校区）。</w:t>
      </w:r>
    </w:p>
    <w:p>
      <w:pPr>
        <w:spacing w:line="500" w:lineRule="exact"/>
        <w:ind w:firstLine="482"/>
        <w:rPr>
          <w:rFonts w:hAnsi="宋体"/>
          <w:b/>
          <w:bCs/>
          <w:sz w:val="24"/>
        </w:rPr>
      </w:pPr>
      <w:r>
        <w:rPr>
          <w:rFonts w:hint="eastAsia" w:hAnsi="宋体"/>
          <w:b/>
          <w:bCs/>
          <w:sz w:val="24"/>
        </w:rPr>
        <w:t>2．付款方法和条件</w:t>
      </w:r>
    </w:p>
    <w:p>
      <w:pPr>
        <w:spacing w:line="500" w:lineRule="exact"/>
        <w:ind w:firstLine="480"/>
        <w:rPr>
          <w:rFonts w:hAnsi="宋体"/>
          <w:bCs/>
          <w:sz w:val="24"/>
        </w:rPr>
      </w:pPr>
      <w:r>
        <w:rPr>
          <w:rFonts w:hint="eastAsia" w:hAnsi="宋体"/>
          <w:bCs/>
          <w:sz w:val="24"/>
        </w:rPr>
        <w:t>项目按预付款和尾款的方式分两次支付，其中预付款为中标金额的95%，尾款为中标金额的5</w:t>
      </w:r>
      <w:r>
        <w:rPr>
          <w:rFonts w:hAnsi="宋体"/>
          <w:bCs/>
          <w:sz w:val="24"/>
        </w:rPr>
        <w:t>%</w:t>
      </w:r>
      <w:r>
        <w:rPr>
          <w:rFonts w:hint="eastAsia" w:hAnsi="宋体"/>
          <w:bCs/>
          <w:sz w:val="24"/>
        </w:rPr>
        <w:t>。验收合格后，采购人于10个工作日内向成交供应商/中标人支付合同金额的95%，剩余5%作为质保金。验收通过后无任何使用问题，采购人退还质保金。</w:t>
      </w:r>
    </w:p>
    <w:p>
      <w:pPr>
        <w:spacing w:line="500" w:lineRule="exact"/>
        <w:ind w:firstLine="482"/>
        <w:rPr>
          <w:rFonts w:hAnsi="宋体"/>
          <w:b/>
          <w:bCs/>
          <w:sz w:val="24"/>
        </w:rPr>
      </w:pPr>
      <w:r>
        <w:rPr>
          <w:rFonts w:hint="eastAsia" w:hAnsi="宋体"/>
          <w:b/>
          <w:bCs/>
          <w:sz w:val="24"/>
        </w:rPr>
        <w:t>3.安装调试及验收</w:t>
      </w:r>
    </w:p>
    <w:p>
      <w:pPr>
        <w:spacing w:line="500" w:lineRule="exact"/>
        <w:ind w:firstLine="480"/>
        <w:rPr>
          <w:rFonts w:hAnsi="宋体"/>
          <w:sz w:val="24"/>
        </w:rPr>
      </w:pPr>
      <w:r>
        <w:rPr>
          <w:rFonts w:hint="eastAsia" w:hAnsi="宋体"/>
          <w:sz w:val="24"/>
        </w:rPr>
        <w:t>3.1安装调试</w:t>
      </w:r>
    </w:p>
    <w:p>
      <w:pPr>
        <w:spacing w:line="500" w:lineRule="exact"/>
        <w:ind w:firstLine="480"/>
        <w:rPr>
          <w:rFonts w:hAnsi="宋体"/>
          <w:sz w:val="24"/>
        </w:rPr>
      </w:pPr>
      <w:r>
        <w:rPr>
          <w:rFonts w:hint="eastAsia" w:hAnsi="宋体"/>
          <w:sz w:val="24"/>
        </w:rPr>
        <w:t>本项目可远程或现场实施安装和调试。</w:t>
      </w:r>
    </w:p>
    <w:p>
      <w:pPr>
        <w:spacing w:line="500" w:lineRule="exact"/>
        <w:ind w:firstLine="480"/>
        <w:rPr>
          <w:rFonts w:hAnsi="宋体"/>
          <w:sz w:val="24"/>
        </w:rPr>
      </w:pPr>
      <w:r>
        <w:rPr>
          <w:rFonts w:hint="eastAsia" w:hAnsi="宋体"/>
          <w:sz w:val="24"/>
        </w:rPr>
        <w:t>3</w:t>
      </w:r>
      <w:r>
        <w:rPr>
          <w:rFonts w:hAnsi="宋体"/>
          <w:sz w:val="24"/>
        </w:rPr>
        <w:t>.2</w:t>
      </w:r>
      <w:r>
        <w:rPr>
          <w:rFonts w:hint="eastAsia" w:hAnsi="宋体"/>
          <w:sz w:val="24"/>
        </w:rPr>
        <w:t>验收</w:t>
      </w:r>
    </w:p>
    <w:p>
      <w:pPr>
        <w:spacing w:line="500" w:lineRule="exact"/>
        <w:ind w:firstLine="480"/>
        <w:rPr>
          <w:rFonts w:hAnsi="宋体"/>
          <w:sz w:val="24"/>
        </w:rPr>
      </w:pPr>
      <w:r>
        <w:rPr>
          <w:rFonts w:hint="eastAsia" w:hAnsi="宋体"/>
          <w:sz w:val="24"/>
        </w:rPr>
        <w:t>项目安装调试完成后，系统进入为期</w:t>
      </w:r>
      <w:r>
        <w:rPr>
          <w:rFonts w:hAnsi="宋体"/>
          <w:sz w:val="24"/>
        </w:rPr>
        <w:t>5</w:t>
      </w:r>
      <w:r>
        <w:rPr>
          <w:rFonts w:hint="eastAsia" w:hAnsi="宋体"/>
          <w:sz w:val="24"/>
        </w:rPr>
        <w:t>个工作日的试用期。试用期满无质量问题，达到验收条件，采购方与供应商共同组织验收。试用期发现质量问题，采购方通知中标方维修，自维修结束之日起重新计算试用期；经3次维修仍不达验收条件，采购方有权中止合同，向供应商追回已支付的全部预付款，履约保证金不予退还。</w:t>
      </w:r>
    </w:p>
    <w:p>
      <w:pPr>
        <w:spacing w:line="500" w:lineRule="exact"/>
        <w:ind w:firstLine="482"/>
        <w:rPr>
          <w:rFonts w:hAnsi="宋体"/>
          <w:b/>
          <w:bCs/>
          <w:sz w:val="24"/>
        </w:rPr>
      </w:pPr>
      <w:r>
        <w:rPr>
          <w:rFonts w:hAnsi="宋体"/>
          <w:b/>
          <w:bCs/>
          <w:sz w:val="24"/>
        </w:rPr>
        <w:t>4</w:t>
      </w:r>
      <w:r>
        <w:rPr>
          <w:rFonts w:hint="eastAsia" w:hAnsi="宋体"/>
          <w:b/>
          <w:bCs/>
          <w:sz w:val="24"/>
        </w:rPr>
        <w:t>.服务要求</w:t>
      </w:r>
    </w:p>
    <w:p>
      <w:pPr>
        <w:spacing w:line="500" w:lineRule="exact"/>
        <w:ind w:firstLine="480" w:firstLineChars="200"/>
        <w:rPr>
          <w:rFonts w:hAnsi="宋体"/>
          <w:sz w:val="24"/>
        </w:rPr>
      </w:pPr>
      <w:r>
        <w:rPr>
          <w:rFonts w:hint="eastAsia" w:hAnsi="宋体"/>
          <w:sz w:val="24"/>
        </w:rPr>
        <w:t>（1）供应商须提供一年免费运维，运维期内产生的费用由供应商自行承担。供应商提供的系统在使用期内出现质量问题，应无条件进行维护修复；采购人采购的产品如因本地服务器损坏、病毒攻击、误删等多种因素影响而造成数据丢失的或系统无法正常运行的，供应商负责协调采购人恢复所有数据和系统运行。供应商提供的产品出现故障或质量问题，严重影响采购人使用的，供应商在接到通知后，2小时内到达现场，及时排除故障并恢复正常运行。</w:t>
      </w:r>
    </w:p>
    <w:p>
      <w:pPr>
        <w:spacing w:line="500" w:lineRule="exact"/>
        <w:ind w:firstLine="434" w:firstLineChars="181"/>
        <w:rPr>
          <w:rFonts w:hAnsi="宋体"/>
          <w:sz w:val="24"/>
        </w:rPr>
      </w:pPr>
      <w:r>
        <w:rPr>
          <w:rFonts w:hint="eastAsia" w:hAnsi="宋体"/>
          <w:sz w:val="24"/>
        </w:rPr>
        <w:t>（2）项目运维期自甲乙双方确认通过验收之日起计算。</w:t>
      </w:r>
    </w:p>
    <w:p>
      <w:pPr>
        <w:spacing w:line="500" w:lineRule="exact"/>
        <w:ind w:firstLine="480"/>
        <w:rPr>
          <w:rFonts w:hAnsi="宋体"/>
          <w:sz w:val="24"/>
        </w:rPr>
      </w:pPr>
      <w:r>
        <w:rPr>
          <w:rFonts w:hint="eastAsia" w:hAnsi="宋体"/>
          <w:sz w:val="24"/>
        </w:rPr>
        <w:t>（</w:t>
      </w:r>
      <w:r>
        <w:rPr>
          <w:rFonts w:hAnsi="宋体"/>
          <w:sz w:val="24"/>
        </w:rPr>
        <w:t>3</w:t>
      </w:r>
      <w:r>
        <w:rPr>
          <w:rFonts w:hint="eastAsia" w:hAnsi="宋体"/>
          <w:sz w:val="24"/>
        </w:rPr>
        <w:t>）供应商应在约定的交货期内完成产品的本地化安装及调试工作。</w:t>
      </w:r>
    </w:p>
    <w:p>
      <w:pPr>
        <w:spacing w:line="500" w:lineRule="exact"/>
        <w:ind w:firstLine="480"/>
        <w:rPr>
          <w:rFonts w:hAnsi="宋体"/>
          <w:sz w:val="24"/>
        </w:rPr>
      </w:pPr>
      <w:r>
        <w:rPr>
          <w:rFonts w:hint="eastAsia" w:hAnsi="宋体"/>
          <w:sz w:val="24"/>
        </w:rPr>
        <w:t>（</w:t>
      </w:r>
      <w:r>
        <w:rPr>
          <w:rFonts w:hAnsi="宋体"/>
          <w:sz w:val="24"/>
        </w:rPr>
        <w:t>4</w:t>
      </w:r>
      <w:r>
        <w:rPr>
          <w:rFonts w:hint="eastAsia" w:hAnsi="宋体"/>
          <w:sz w:val="24"/>
        </w:rPr>
        <w:t>）供应商提供用户培训，培训内容分为系统常规使用和应急处置。</w:t>
      </w:r>
    </w:p>
    <w:p>
      <w:pPr>
        <w:spacing w:line="500" w:lineRule="exact"/>
        <w:ind w:firstLine="480"/>
        <w:rPr>
          <w:rFonts w:hAnsi="宋体"/>
          <w:sz w:val="24"/>
        </w:rPr>
      </w:pPr>
      <w:r>
        <w:rPr>
          <w:rFonts w:hint="eastAsia" w:hAnsi="宋体"/>
          <w:sz w:val="24"/>
        </w:rPr>
        <w:t>（</w:t>
      </w:r>
      <w:r>
        <w:rPr>
          <w:rFonts w:hAnsi="宋体"/>
          <w:sz w:val="24"/>
        </w:rPr>
        <w:t>5</w:t>
      </w:r>
      <w:r>
        <w:rPr>
          <w:rFonts w:hint="eastAsia" w:hAnsi="宋体"/>
          <w:sz w:val="24"/>
        </w:rPr>
        <w:t>）采购方所购应不存在知识产权保护问题，如存在相关问题，由供应商自行负责。</w:t>
      </w:r>
    </w:p>
    <w:p>
      <w:pPr>
        <w:spacing w:line="500" w:lineRule="exact"/>
        <w:ind w:firstLine="480" w:firstLineChars="200"/>
        <w:rPr>
          <w:rFonts w:hAnsi="宋体"/>
          <w:sz w:val="24"/>
        </w:rPr>
      </w:pPr>
      <w:r>
        <w:rPr>
          <w:rFonts w:hint="eastAsia" w:hAnsi="宋体"/>
          <w:sz w:val="24"/>
        </w:rPr>
        <w:t>（</w:t>
      </w:r>
      <w:r>
        <w:rPr>
          <w:rFonts w:hAnsi="宋体"/>
          <w:sz w:val="24"/>
        </w:rPr>
        <w:t>6</w:t>
      </w:r>
      <w:r>
        <w:rPr>
          <w:rFonts w:hint="eastAsia" w:hAnsi="宋体"/>
          <w:sz w:val="24"/>
        </w:rPr>
        <w:t>）用户权利要求：供应商必须保障采购方使用其产品、服务及其任何部分不受到第三方关于侵犯所有权、商标权或工业设计权的指控。任何第三方如果提出指控，供方必须与第三方交涉并承担由此引起的一切法律责任和费用。供应商提供的数据必须真实可靠，没有虚假成份。</w:t>
      </w:r>
    </w:p>
    <w:p>
      <w:pPr>
        <w:spacing w:line="500" w:lineRule="exact"/>
        <w:ind w:firstLine="480"/>
        <w:rPr>
          <w:rFonts w:hAnsi="宋体"/>
          <w:sz w:val="24"/>
        </w:rPr>
      </w:pPr>
      <w:r>
        <w:rPr>
          <w:rFonts w:hint="eastAsia" w:hAnsi="宋体"/>
          <w:sz w:val="24"/>
        </w:rPr>
        <w:t>（7）供应商承诺中标后在项目所在地设立分支机构或办事处或分公司，并有技术人员在项目所在地任职，以便出现任何问题随时解决。</w:t>
      </w:r>
      <w:r>
        <w:rPr>
          <w:rFonts w:hint="eastAsia" w:hAnsi="宋体"/>
          <w:b/>
          <w:bCs/>
          <w:sz w:val="24"/>
        </w:rPr>
        <w:t>供应商提供相关证明材料。</w:t>
      </w:r>
    </w:p>
    <w:p>
      <w:pPr>
        <w:snapToGrid w:val="0"/>
        <w:spacing w:line="560" w:lineRule="exact"/>
        <w:textAlignment w:val="baseline"/>
        <w:rPr>
          <w:rFonts w:hAnsi="宋体"/>
          <w:b/>
          <w:sz w:val="24"/>
        </w:rPr>
      </w:pPr>
      <w:r>
        <w:rPr>
          <w:rFonts w:hint="eastAsia" w:hAnsi="宋体"/>
          <w:b/>
          <w:sz w:val="24"/>
        </w:rPr>
        <w:t>（五）其他商务、技术要求</w:t>
      </w:r>
    </w:p>
    <w:p>
      <w:pPr>
        <w:spacing w:line="500" w:lineRule="exact"/>
        <w:ind w:firstLine="482"/>
        <w:rPr>
          <w:rFonts w:hAnsi="宋体"/>
          <w:sz w:val="24"/>
        </w:rPr>
      </w:pPr>
      <w:r>
        <w:rPr>
          <w:rFonts w:hint="eastAsia" w:hAnsi="宋体"/>
          <w:sz w:val="24"/>
        </w:rPr>
        <w:t>1</w:t>
      </w:r>
      <w:r>
        <w:rPr>
          <w:rFonts w:hAnsi="宋体"/>
          <w:sz w:val="24"/>
        </w:rPr>
        <w:t>.</w:t>
      </w:r>
      <w:r>
        <w:rPr>
          <w:rFonts w:hint="eastAsia" w:hAnsi="宋体"/>
          <w:sz w:val="24"/>
        </w:rPr>
        <w:t>产品安全要求</w:t>
      </w:r>
    </w:p>
    <w:p>
      <w:pPr>
        <w:jc w:val="center"/>
        <w:rPr>
          <w:rFonts w:hAnsi="宋体"/>
          <w:b/>
          <w:bCs/>
          <w:sz w:val="24"/>
        </w:rPr>
      </w:pPr>
      <w:r>
        <w:rPr>
          <w:rFonts w:hint="eastAsia" w:hAnsi="宋体"/>
          <w:sz w:val="24"/>
        </w:rPr>
        <w:t>供货商所提供的所有产品，均应达到网络安全等级保护标准中三级保护对网络产品的要求，由采购方提供的网络环境和服务器除外。供货商须为提供以下安全认证中的一种或多种：《网络安全等级保护系统备案证明》（三级）以及产品开发者的《信息安全管理体系认证证书》。</w:t>
      </w:r>
      <w:r>
        <w:rPr>
          <w:rFonts w:hint="eastAsia" w:hAnsi="宋体"/>
          <w:b/>
          <w:bCs/>
          <w:sz w:val="24"/>
        </w:rPr>
        <w:t>所有证书均提供加盖供应商鲜章的复印件。</w:t>
      </w:r>
      <w:r>
        <w:rPr>
          <w:rFonts w:hAnsi="宋体"/>
          <w:b/>
          <w:bCs/>
          <w:sz w:val="24"/>
        </w:rPr>
        <w:br w:type="textWrapping"/>
      </w:r>
    </w:p>
    <w:p>
      <w:pPr>
        <w:jc w:val="center"/>
        <w:rPr>
          <w:rFonts w:hAnsi="宋体"/>
          <w:sz w:val="32"/>
          <w:szCs w:val="32"/>
        </w:rPr>
      </w:pPr>
      <w:r>
        <w:rPr>
          <w:rFonts w:hAnsi="宋体"/>
          <w:b/>
          <w:bCs/>
          <w:sz w:val="24"/>
        </w:rPr>
        <w:tab/>
      </w:r>
      <w:r>
        <w:rPr>
          <w:rFonts w:hint="eastAsia" w:hAnsi="宋体"/>
          <w:sz w:val="32"/>
          <w:szCs w:val="32"/>
          <w:lang w:eastAsia="zh-CN"/>
        </w:rPr>
        <w:t>第五章</w:t>
      </w:r>
      <w:r>
        <w:rPr>
          <w:rFonts w:hAnsi="宋体"/>
          <w:sz w:val="32"/>
          <w:szCs w:val="32"/>
        </w:rPr>
        <w:t xml:space="preserve"> </w:t>
      </w:r>
      <w:r>
        <w:rPr>
          <w:rFonts w:hint="eastAsia" w:hAnsi="宋体"/>
          <w:sz w:val="32"/>
          <w:szCs w:val="32"/>
        </w:rPr>
        <w:t>评标办法</w:t>
      </w:r>
    </w:p>
    <w:p>
      <w:pPr>
        <w:adjustRightInd w:val="0"/>
        <w:snapToGrid w:val="0"/>
        <w:spacing w:line="360" w:lineRule="auto"/>
        <w:ind w:firstLine="481" w:firstLineChars="188"/>
        <w:jc w:val="center"/>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分。招标主要考评因素包括投标报价（30</w:t>
      </w:r>
      <w:r>
        <w:rPr>
          <w:rFonts w:hAnsi="宋体"/>
          <w:color w:val="000000"/>
          <w:sz w:val="24"/>
        </w:rPr>
        <w:t>%</w:t>
      </w:r>
      <w:r>
        <w:rPr>
          <w:rFonts w:hint="eastAsia" w:hAnsi="宋体"/>
          <w:color w:val="000000"/>
          <w:sz w:val="24"/>
        </w:rPr>
        <w:t>）、技术性能（45</w:t>
      </w:r>
      <w:r>
        <w:rPr>
          <w:rFonts w:hAnsi="宋体"/>
          <w:color w:val="000000"/>
          <w:sz w:val="24"/>
        </w:rPr>
        <w:t>%</w:t>
      </w:r>
      <w:r>
        <w:rPr>
          <w:rFonts w:hint="eastAsia" w:hAnsi="宋体"/>
          <w:color w:val="000000"/>
          <w:sz w:val="24"/>
        </w:rPr>
        <w:t>）和综合商务部分（</w:t>
      </w:r>
      <w:r>
        <w:rPr>
          <w:rFonts w:hAnsi="宋体"/>
          <w:color w:val="000000"/>
          <w:sz w:val="24"/>
        </w:rPr>
        <w:t>2</w:t>
      </w:r>
      <w:r>
        <w:rPr>
          <w:rFonts w:hint="eastAsia" w:hAnsi="宋体"/>
          <w:color w:val="000000"/>
          <w:sz w:val="24"/>
        </w:rPr>
        <w:t>5</w:t>
      </w:r>
      <w:r>
        <w:rPr>
          <w:rFonts w:hAnsi="宋体"/>
          <w:color w:val="000000"/>
          <w:sz w:val="24"/>
        </w:rPr>
        <w:t>%</w:t>
      </w:r>
      <w:r>
        <w:rPr>
          <w:rFonts w:hint="eastAsia" w:hAnsi="宋体"/>
          <w:color w:val="000000"/>
          <w:sz w:val="24"/>
        </w:rPr>
        <w:t>）三个方面，各投标人三方面的所有评价指标得分之和为该投标人的综合得分。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0"/>
        <w:tblW w:w="9358" w:type="dxa"/>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0"/>
        <w:gridCol w:w="19"/>
        <w:gridCol w:w="1245"/>
        <w:gridCol w:w="1020"/>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评价因素</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权重</w:t>
            </w:r>
          </w:p>
          <w:p>
            <w:pPr>
              <w:adjustRightInd w:val="0"/>
              <w:snapToGrid w:val="0"/>
              <w:spacing w:line="360" w:lineRule="auto"/>
              <w:rPr>
                <w:rFonts w:hAnsi="宋体" w:cs="宋体"/>
                <w:bCs/>
                <w:spacing w:val="8"/>
                <w:sz w:val="24"/>
              </w:rPr>
            </w:pPr>
            <w:r>
              <w:rPr>
                <w:rFonts w:hint="eastAsia" w:hAnsi="宋体" w:cs="宋体"/>
                <w:bCs/>
                <w:spacing w:val="8"/>
                <w:sz w:val="24"/>
              </w:rPr>
              <w:t>（满分）</w:t>
            </w:r>
          </w:p>
        </w:tc>
        <w:tc>
          <w:tcPr>
            <w:tcW w:w="63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1" w:firstLineChars="188"/>
              <w:jc w:val="center"/>
              <w:rPr>
                <w:rFonts w:hAnsi="宋体" w:cs="宋体"/>
                <w:bCs/>
                <w:spacing w:val="8"/>
                <w:sz w:val="24"/>
              </w:rPr>
            </w:pPr>
            <w:r>
              <w:rPr>
                <w:rFonts w:hint="eastAsia" w:hAnsi="宋体" w:cs="宋体"/>
                <w:bCs/>
                <w:spacing w:val="8"/>
                <w:sz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6"/>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一</w:t>
            </w:r>
            <w:r>
              <w:rPr>
                <w:rFonts w:hAnsi="宋体" w:cs="宋体"/>
                <w:bCs/>
                <w:spacing w:val="8"/>
                <w:sz w:val="24"/>
                <w:szCs w:val="24"/>
              </w:rPr>
              <w:t xml:space="preserve"> 、投标报价（满分 </w:t>
            </w:r>
            <w:r>
              <w:rPr>
                <w:rFonts w:hint="eastAsia" w:hAnsi="宋体" w:cs="宋体"/>
                <w:bCs/>
                <w:spacing w:val="8"/>
                <w:sz w:val="24"/>
                <w:szCs w:val="24"/>
              </w:rPr>
              <w:t>30</w:t>
            </w:r>
            <w:r>
              <w:rPr>
                <w:rFonts w:hAnsi="宋体" w:cs="宋体"/>
                <w:bCs/>
                <w:spacing w:val="8"/>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73" w:type="dxa"/>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274" w:type="dxa"/>
            <w:gridSpan w:val="3"/>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投标</w:t>
            </w:r>
            <w:r>
              <w:rPr>
                <w:rFonts w:hAnsi="宋体" w:cs="宋体"/>
                <w:bCs/>
                <w:spacing w:val="8"/>
                <w:sz w:val="24"/>
                <w:szCs w:val="24"/>
              </w:rPr>
              <w:t>报价</w:t>
            </w:r>
          </w:p>
        </w:tc>
        <w:tc>
          <w:tcPr>
            <w:tcW w:w="1020" w:type="dxa"/>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30</w:t>
            </w:r>
          </w:p>
        </w:tc>
        <w:tc>
          <w:tcPr>
            <w:tcW w:w="6391" w:type="dxa"/>
            <w:tcBorders>
              <w:left w:val="single" w:color="auto" w:sz="4" w:space="0"/>
            </w:tcBorders>
            <w:vAlign w:val="center"/>
          </w:tcPr>
          <w:p>
            <w:pPr>
              <w:spacing w:line="360" w:lineRule="auto"/>
              <w:rPr>
                <w:rFonts w:hAnsi="宋体" w:cs="宋体"/>
                <w:bCs/>
                <w:spacing w:val="8"/>
                <w:sz w:val="24"/>
                <w:szCs w:val="24"/>
              </w:rPr>
            </w:pPr>
            <w:r>
              <w:rPr>
                <w:rFonts w:hint="eastAsia" w:hAnsi="宋体" w:cs="宋体"/>
                <w:sz w:val="24"/>
                <w:szCs w:val="24"/>
              </w:rPr>
              <w:t>投标文件中的有效最低折扣为基准折扣率，投标报价得分</w:t>
            </w:r>
            <w:r>
              <w:rPr>
                <w:rFonts w:hAnsi="宋体" w:cs="宋体"/>
                <w:sz w:val="24"/>
                <w:szCs w:val="24"/>
              </w:rPr>
              <w:t>=</w:t>
            </w:r>
            <w:r>
              <w:rPr>
                <w:rFonts w:hint="eastAsia" w:hAnsi="宋体" w:cs="宋体"/>
                <w:sz w:val="24"/>
                <w:szCs w:val="24"/>
              </w:rPr>
              <w:t>（投标折扣／基准折扣）×30。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6"/>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二</w:t>
            </w:r>
            <w:r>
              <w:rPr>
                <w:rFonts w:hAnsi="宋体" w:cs="宋体"/>
                <w:bCs/>
                <w:spacing w:val="8"/>
                <w:sz w:val="24"/>
                <w:szCs w:val="24"/>
              </w:rPr>
              <w:t xml:space="preserve">、技术性能（满分 </w:t>
            </w:r>
            <w:r>
              <w:rPr>
                <w:rFonts w:hint="eastAsia" w:hAnsi="宋体" w:cs="宋体"/>
                <w:bCs/>
                <w:spacing w:val="8"/>
                <w:sz w:val="24"/>
                <w:szCs w:val="24"/>
              </w:rPr>
              <w:t>45</w:t>
            </w:r>
            <w:r>
              <w:rPr>
                <w:rFonts w:hAnsi="宋体" w:cs="宋体"/>
                <w:bCs/>
                <w:spacing w:val="8"/>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3" w:type="dxa"/>
            <w:gridSpan w:val="2"/>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264" w:type="dxa"/>
            <w:gridSpan w:val="2"/>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技术要求</w:t>
            </w:r>
          </w:p>
        </w:tc>
        <w:tc>
          <w:tcPr>
            <w:tcW w:w="1020" w:type="dxa"/>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45</w:t>
            </w:r>
          </w:p>
        </w:tc>
        <w:tc>
          <w:tcPr>
            <w:tcW w:w="6391" w:type="dxa"/>
            <w:tcBorders>
              <w:left w:val="single" w:color="auto" w:sz="4" w:space="0"/>
            </w:tcBorders>
            <w:vAlign w:val="center"/>
          </w:tcPr>
          <w:p>
            <w:pPr>
              <w:adjustRightInd w:val="0"/>
              <w:snapToGrid w:val="0"/>
              <w:spacing w:line="360" w:lineRule="auto"/>
              <w:rPr>
                <w:rFonts w:hAnsi="宋体" w:cs="宋体"/>
                <w:bCs/>
                <w:spacing w:val="8"/>
                <w:sz w:val="24"/>
                <w:szCs w:val="24"/>
              </w:rPr>
            </w:pPr>
            <w:r>
              <w:rPr>
                <w:rFonts w:hint="eastAsia" w:hAnsi="宋体" w:cs="宋体"/>
                <w:bCs/>
                <w:spacing w:val="8"/>
                <w:sz w:val="24"/>
                <w:szCs w:val="24"/>
              </w:rPr>
              <w:t>完全符合招标文件要求没有负偏离得45分；</w:t>
            </w:r>
          </w:p>
          <w:p>
            <w:pPr>
              <w:adjustRightInd w:val="0"/>
              <w:snapToGrid w:val="0"/>
              <w:spacing w:line="360" w:lineRule="auto"/>
              <w:rPr>
                <w:rFonts w:hAnsi="宋体" w:cs="宋体"/>
                <w:bCs/>
                <w:spacing w:val="8"/>
                <w:sz w:val="24"/>
                <w:szCs w:val="24"/>
              </w:rPr>
            </w:pPr>
            <w:r>
              <w:rPr>
                <w:rFonts w:hint="eastAsia" w:hAnsi="宋体" w:cs="宋体"/>
                <w:bCs/>
                <w:spacing w:val="8"/>
                <w:sz w:val="24"/>
                <w:szCs w:val="24"/>
              </w:rPr>
              <w:t>1.“▲”参数要求共25条，一项负偏离或未按照要求提供证明材料的扣1分，共25分；（注：需要提供软件界面截图证明满足条件的参数，没有截图的，视为负偏离。）</w:t>
            </w:r>
          </w:p>
          <w:p>
            <w:pPr>
              <w:adjustRightInd w:val="0"/>
              <w:snapToGrid w:val="0"/>
              <w:spacing w:line="360" w:lineRule="auto"/>
              <w:rPr>
                <w:rFonts w:hAnsi="宋体" w:cs="宋体"/>
                <w:bCs/>
                <w:spacing w:val="8"/>
                <w:sz w:val="24"/>
                <w:szCs w:val="24"/>
              </w:rPr>
            </w:pPr>
            <w:r>
              <w:rPr>
                <w:rFonts w:hint="eastAsia" w:hAnsi="宋体" w:cs="宋体"/>
                <w:bCs/>
                <w:spacing w:val="8"/>
                <w:sz w:val="24"/>
                <w:szCs w:val="24"/>
              </w:rPr>
              <w:t>2.未带符号的参数要求共40条，一项负偏离或未按照要求提供证明材料的扣0.5分，共20分。</w:t>
            </w:r>
          </w:p>
          <w:p>
            <w:pPr>
              <w:adjustRightInd w:val="0"/>
              <w:snapToGrid w:val="0"/>
              <w:spacing w:line="360" w:lineRule="auto"/>
              <w:rPr>
                <w:rFonts w:hAnsi="宋体" w:cs="宋体"/>
                <w:bCs/>
                <w:spacing w:val="8"/>
                <w:sz w:val="24"/>
                <w:szCs w:val="24"/>
              </w:rPr>
            </w:pPr>
            <w:r>
              <w:rPr>
                <w:rFonts w:hint="eastAsia" w:hAnsi="宋体" w:cs="宋体"/>
                <w:b/>
                <w:spacing w:val="8"/>
                <w:sz w:val="24"/>
                <w:szCs w:val="24"/>
              </w:rPr>
              <w:t>注：技术响应负偏离超过10条的，技术分得0分。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6"/>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、商务部分（满分 </w:t>
            </w:r>
            <w:r>
              <w:rPr>
                <w:rFonts w:hint="eastAsia" w:hAnsi="宋体" w:cs="宋体"/>
                <w:bCs/>
                <w:spacing w:val="8"/>
                <w:sz w:val="24"/>
                <w:szCs w:val="24"/>
              </w:rPr>
              <w:t>2</w:t>
            </w:r>
            <w:r>
              <w:rPr>
                <w:rFonts w:hAnsi="宋体" w:cs="宋体"/>
                <w:bCs/>
                <w:spacing w:val="8"/>
                <w:sz w:val="24"/>
                <w:szCs w:val="24"/>
              </w:rPr>
              <w:t>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9358" w:type="dxa"/>
            <w:gridSpan w:val="6"/>
            <w:vAlign w:val="center"/>
          </w:tcPr>
          <w:p>
            <w:pPr>
              <w:adjustRightInd w:val="0"/>
              <w:snapToGrid w:val="0"/>
              <w:spacing w:line="360" w:lineRule="auto"/>
              <w:ind w:firstLine="481" w:firstLineChars="188"/>
              <w:jc w:val="center"/>
              <w:rPr>
                <w:rFonts w:hAnsi="宋体" w:cs="宋体"/>
                <w:bCs/>
                <w:spacing w:val="8"/>
                <w:sz w:val="24"/>
                <w:szCs w:val="24"/>
              </w:rPr>
            </w:pPr>
            <w:r>
              <w:rPr>
                <w:rFonts w:hAnsi="宋体" w:cs="宋体"/>
                <w:bCs/>
                <w:spacing w:val="8"/>
                <w:sz w:val="24"/>
                <w:szCs w:val="24"/>
              </w:rPr>
              <w:t>综合商务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245" w:type="dxa"/>
            <w:vAlign w:val="center"/>
          </w:tcPr>
          <w:p>
            <w:pPr>
              <w:adjustRightInd w:val="0"/>
              <w:snapToGrid w:val="0"/>
              <w:spacing w:line="360" w:lineRule="auto"/>
              <w:jc w:val="center"/>
              <w:rPr>
                <w:rFonts w:hAnsi="宋体" w:cs="宋体"/>
                <w:bCs/>
                <w:spacing w:val="8"/>
                <w:sz w:val="24"/>
                <w:szCs w:val="24"/>
              </w:rPr>
            </w:pPr>
            <w:r>
              <w:rPr>
                <w:rFonts w:hAnsi="宋体" w:cs="宋体"/>
                <w:bCs/>
                <w:spacing w:val="8"/>
                <w:sz w:val="24"/>
                <w:szCs w:val="24"/>
              </w:rPr>
              <w:t>业绩</w:t>
            </w:r>
          </w:p>
        </w:tc>
        <w:tc>
          <w:tcPr>
            <w:tcW w:w="1020" w:type="dxa"/>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5</w:t>
            </w:r>
          </w:p>
        </w:tc>
        <w:tc>
          <w:tcPr>
            <w:tcW w:w="6391" w:type="dxa"/>
            <w:vAlign w:val="center"/>
          </w:tcPr>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根据投标人自2020年1月1日（含）以来完成的同类型信息化协同办公系统升级的类似项目，提供1家得1分，最高5分；不提供不得分。</w:t>
            </w:r>
          </w:p>
          <w:p>
            <w:pPr>
              <w:adjustRightInd w:val="0"/>
              <w:snapToGrid w:val="0"/>
              <w:spacing w:line="360" w:lineRule="auto"/>
              <w:jc w:val="left"/>
              <w:rPr>
                <w:rFonts w:hAnsi="宋体" w:cs="宋体"/>
                <w:bCs/>
                <w:spacing w:val="8"/>
                <w:sz w:val="24"/>
                <w:szCs w:val="24"/>
              </w:rPr>
            </w:pPr>
            <w:r>
              <w:rPr>
                <w:rFonts w:hint="eastAsia" w:hAnsi="宋体" w:cs="宋体"/>
                <w:b/>
                <w:spacing w:val="8"/>
                <w:sz w:val="24"/>
              </w:rPr>
              <w:t>提供完整的合同复印件或中标(成交)通知书，未按要求提供不得分。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w:t>
            </w:r>
          </w:p>
        </w:tc>
        <w:tc>
          <w:tcPr>
            <w:tcW w:w="1245" w:type="dxa"/>
            <w:vAlign w:val="center"/>
          </w:tcPr>
          <w:p>
            <w:pPr>
              <w:adjustRightInd w:val="0"/>
              <w:snapToGrid w:val="0"/>
              <w:spacing w:line="360" w:lineRule="auto"/>
              <w:jc w:val="center"/>
              <w:rPr>
                <w:rFonts w:hAnsi="宋体" w:cs="宋体"/>
                <w:bCs/>
                <w:spacing w:val="8"/>
                <w:sz w:val="24"/>
                <w:szCs w:val="24"/>
              </w:rPr>
            </w:pPr>
            <w:r>
              <w:rPr>
                <w:rFonts w:hint="eastAsia" w:hAnsi="宋体"/>
                <w:sz w:val="24"/>
                <w:szCs w:val="24"/>
              </w:rPr>
              <w:t>服务能力</w:t>
            </w:r>
          </w:p>
        </w:tc>
        <w:tc>
          <w:tcPr>
            <w:tcW w:w="1020" w:type="dxa"/>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10</w:t>
            </w:r>
          </w:p>
        </w:tc>
        <w:tc>
          <w:tcPr>
            <w:tcW w:w="6391" w:type="dxa"/>
            <w:vAlign w:val="center"/>
          </w:tcPr>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1.项目实施方案(3分)</w:t>
            </w:r>
          </w:p>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根据投标人针对本项目提供的项目实施方案进行综合评定，方案应包含但不限于项目的需求分析、项目管理方法、工期进度控制、质量保证体系、风险控制措施、实施资源保障及管理工具等。综合比较进行评分：上述内容全面，可实际执行，逻辑清晰利于本项目实施的得3分；任意一项缺失或表述错误或与本项目无关的扣0.5分，本项最低得0分。</w:t>
            </w:r>
          </w:p>
          <w:p>
            <w:pPr>
              <w:adjustRightInd w:val="0"/>
              <w:snapToGrid w:val="0"/>
              <w:spacing w:line="360" w:lineRule="auto"/>
              <w:ind w:firstLine="481" w:firstLineChars="188"/>
              <w:jc w:val="left"/>
              <w:rPr>
                <w:rFonts w:hAnsi="宋体" w:cs="宋体"/>
                <w:bCs/>
                <w:spacing w:val="8"/>
                <w:sz w:val="24"/>
              </w:rPr>
            </w:pPr>
          </w:p>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2.培训服务方案（2分）</w:t>
            </w:r>
          </w:p>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投标人针对本项目的服务要求提供培训方案（培训目标、培训对象、培训计划、培训方式、培训内容、培训职责分工、培训保障、培训考核评估等）；综合比较进行评分：上述内容全面，可实际执行，逻辑清晰利于本项目实施的得2分，有任意一项缺失或表述错误或与本项目无关的扣0.25分，本项最低得0分。</w:t>
            </w:r>
          </w:p>
          <w:p>
            <w:pPr>
              <w:adjustRightInd w:val="0"/>
              <w:snapToGrid w:val="0"/>
              <w:spacing w:line="360" w:lineRule="auto"/>
              <w:ind w:firstLine="481" w:firstLineChars="188"/>
              <w:jc w:val="left"/>
              <w:rPr>
                <w:rFonts w:hAnsi="宋体" w:cs="宋体"/>
                <w:bCs/>
                <w:spacing w:val="8"/>
                <w:sz w:val="24"/>
              </w:rPr>
            </w:pPr>
          </w:p>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3.售后服务方案(3分)</w:t>
            </w:r>
          </w:p>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投标人针对本项目的售后服务要求提供售后服务方案（包含但不限于本地化服务网点、服务人员配置、服务组织方式、服务内容及服务手段、可视化服务工具、服务质量等）；综合比较进行评分：上述内容全面，可实际执行，逻辑清晰利于本项目实施的得3分，有任意一项缺失或表述错误或与本项目无关的扣0.5分，本项最低得0分。</w:t>
            </w:r>
          </w:p>
          <w:p>
            <w:pPr>
              <w:adjustRightInd w:val="0"/>
              <w:snapToGrid w:val="0"/>
              <w:spacing w:line="360" w:lineRule="auto"/>
              <w:ind w:firstLine="481" w:firstLineChars="188"/>
              <w:jc w:val="left"/>
              <w:rPr>
                <w:rFonts w:hAnsi="宋体" w:cs="宋体"/>
                <w:bCs/>
                <w:spacing w:val="8"/>
                <w:sz w:val="24"/>
              </w:rPr>
            </w:pPr>
          </w:p>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4.应急服务方案（2分）</w:t>
            </w:r>
          </w:p>
          <w:p>
            <w:pPr>
              <w:adjustRightInd w:val="0"/>
              <w:snapToGrid w:val="0"/>
              <w:spacing w:line="360" w:lineRule="auto"/>
              <w:ind w:firstLine="481" w:firstLineChars="188"/>
              <w:jc w:val="left"/>
              <w:rPr>
                <w:rFonts w:hAnsi="宋体" w:cs="宋体"/>
                <w:bCs/>
                <w:spacing w:val="8"/>
                <w:sz w:val="24"/>
              </w:rPr>
            </w:pPr>
            <w:r>
              <w:rPr>
                <w:rFonts w:hint="eastAsia" w:hAnsi="宋体" w:cs="宋体"/>
                <w:bCs/>
                <w:spacing w:val="8"/>
                <w:sz w:val="24"/>
              </w:rPr>
              <w:t>投标人针对本项目的应急服务要求提供应急服务方案（包含但不限于应急响应策略、应急处理措施、数据库安全紧急处理、软件遭受破坏性攻击等）；综合比较进行评分：上述内容全面，可实际执行，逻辑清晰利于本项目实施的得2分，有任意一项缺失或表述错误或与本项目无关的扣0.5分，本项最低得0分。</w:t>
            </w:r>
          </w:p>
          <w:p>
            <w:pPr>
              <w:autoSpaceDE w:val="0"/>
              <w:autoSpaceDN w:val="0"/>
              <w:rPr>
                <w:rFonts w:cs="宋体"/>
                <w:sz w:val="24"/>
                <w:szCs w:val="24"/>
              </w:rPr>
            </w:pPr>
            <w:r>
              <w:rPr>
                <w:rFonts w:hint="eastAsia" w:hAnsi="宋体" w:cs="宋体"/>
                <w:b/>
                <w:spacing w:val="8"/>
                <w:sz w:val="24"/>
              </w:rPr>
              <w:t>提供以上方案并加盖单位公章，否则不得分。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blCellSpacing w:w="0" w:type="dxa"/>
        </w:trPr>
        <w:tc>
          <w:tcPr>
            <w:tcW w:w="702" w:type="dxa"/>
            <w:gridSpan w:val="3"/>
            <w:tcBorders>
              <w:bottom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3</w:t>
            </w:r>
          </w:p>
        </w:tc>
        <w:tc>
          <w:tcPr>
            <w:tcW w:w="1245" w:type="dxa"/>
            <w:tcBorders>
              <w:bottom w:val="single" w:color="auto" w:sz="4" w:space="0"/>
            </w:tcBorders>
            <w:vAlign w:val="center"/>
          </w:tcPr>
          <w:p>
            <w:pPr>
              <w:adjustRightInd w:val="0"/>
              <w:snapToGrid w:val="0"/>
              <w:spacing w:line="360" w:lineRule="auto"/>
              <w:jc w:val="center"/>
              <w:rPr>
                <w:rFonts w:hAnsi="宋体"/>
                <w:sz w:val="24"/>
                <w:szCs w:val="24"/>
              </w:rPr>
            </w:pPr>
            <w:r>
              <w:rPr>
                <w:rFonts w:hint="eastAsia" w:hAnsi="宋体"/>
                <w:sz w:val="24"/>
                <w:szCs w:val="24"/>
              </w:rPr>
              <w:t>投标产品信誉</w:t>
            </w:r>
          </w:p>
        </w:tc>
        <w:tc>
          <w:tcPr>
            <w:tcW w:w="1020" w:type="dxa"/>
            <w:tcBorders>
              <w:bottom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10</w:t>
            </w:r>
          </w:p>
        </w:tc>
        <w:tc>
          <w:tcPr>
            <w:tcW w:w="6391" w:type="dxa"/>
            <w:tcBorders>
              <w:bottom w:val="single" w:color="auto" w:sz="4" w:space="0"/>
            </w:tcBorders>
            <w:vAlign w:val="center"/>
          </w:tcPr>
          <w:p>
            <w:pPr>
              <w:pStyle w:val="55"/>
              <w:numPr>
                <w:ilvl w:val="0"/>
                <w:numId w:val="8"/>
              </w:numPr>
            </w:pPr>
            <w:r>
              <w:rPr>
                <w:rFonts w:hint="eastAsia"/>
              </w:rPr>
              <w:t>投标人通过《有软件能力成熟度模型集成》认证，提供认证证书，5级得3分，4级得2分，3级及以下的得1分，没有不得分（提供以上证明材料复印件加盖投标人公章，且要求证书均要在有效期内，否则不得相应分值）。</w:t>
            </w:r>
          </w:p>
          <w:p>
            <w:pPr>
              <w:pStyle w:val="55"/>
            </w:pPr>
          </w:p>
          <w:p>
            <w:pPr>
              <w:pStyle w:val="55"/>
              <w:numPr>
                <w:ilvl w:val="0"/>
                <w:numId w:val="8"/>
              </w:numPr>
            </w:pPr>
            <w:r>
              <w:rPr>
                <w:rFonts w:hint="eastAsia"/>
              </w:rPr>
              <w:t>投标人具有ITSS信息技术服务标准符合性证书（三级）、CCRC信息安全服务资质认证证书，每提供一个得1分，最多得2分，没有的得0分（提供以上证明材料复印件加盖投标人公章，且要求证书均要在有效期内，否则不得相应分值）。</w:t>
            </w:r>
          </w:p>
          <w:p>
            <w:pPr>
              <w:pStyle w:val="55"/>
            </w:pPr>
          </w:p>
          <w:p>
            <w:pPr>
              <w:pStyle w:val="55"/>
              <w:numPr>
                <w:ilvl w:val="0"/>
                <w:numId w:val="8"/>
              </w:numPr>
            </w:pPr>
            <w:r>
              <w:rPr>
                <w:rFonts w:hint="eastAsia"/>
              </w:rPr>
              <w:t>投标人拟投入本项目的技术负责人同时具有系统分析师证书、数据库管理工程师高级证书、信息安全管理工程师高级证书的得3分，缺少或没有的得0分。（需提供相关证明材料和近三个月社会保障资金证明，加盖公章）</w:t>
            </w:r>
          </w:p>
          <w:p>
            <w:pPr>
              <w:pStyle w:val="55"/>
              <w:widowControl/>
              <w:adjustRightInd w:val="0"/>
              <w:snapToGrid w:val="0"/>
              <w:jc w:val="left"/>
              <w:rPr>
                <w:color w:val="000000"/>
              </w:rPr>
            </w:pPr>
          </w:p>
          <w:p>
            <w:pPr>
              <w:pStyle w:val="55"/>
              <w:numPr>
                <w:ilvl w:val="0"/>
                <w:numId w:val="8"/>
              </w:numPr>
            </w:pPr>
            <w:r>
              <w:rPr>
                <w:rFonts w:hint="eastAsia"/>
              </w:rPr>
              <w:t>投标产品通过《信息系统安全登记保护备案》三级及以上，提供备案证明得2分，未提供或证明文件无效的得0分。</w:t>
            </w:r>
          </w:p>
          <w:p>
            <w:pPr>
              <w:pStyle w:val="55"/>
              <w:widowControl/>
              <w:adjustRightInd w:val="0"/>
              <w:snapToGrid w:val="0"/>
              <w:jc w:val="left"/>
              <w:rPr>
                <w:color w:val="000000"/>
              </w:rPr>
            </w:pPr>
          </w:p>
          <w:p>
            <w:pPr>
              <w:autoSpaceDE w:val="0"/>
              <w:autoSpaceDN w:val="0"/>
              <w:rPr>
                <w:rFonts w:hAnsi="宋体"/>
                <w:sz w:val="24"/>
              </w:rPr>
            </w:pPr>
            <w:r>
              <w:rPr>
                <w:rFonts w:hint="eastAsia" w:ascii="Times New Roman"/>
                <w:b/>
                <w:bCs/>
                <w:sz w:val="24"/>
              </w:rPr>
              <w:t>提供以上证明材料复印件加盖单位公章，且要求证书均要在有效期内，否则不得分。</w:t>
            </w: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3"/>
        <w:snapToGrid w:val="0"/>
        <w:spacing w:before="0" w:after="0" w:line="240" w:lineRule="auto"/>
        <w:jc w:val="center"/>
        <w:rPr>
          <w:rFonts w:hAnsi="宋体"/>
          <w:sz w:val="32"/>
          <w:szCs w:val="32"/>
        </w:rPr>
      </w:pPr>
      <w:r>
        <w:rPr>
          <w:rFonts w:hint="eastAsia" w:hAnsi="宋体"/>
          <w:sz w:val="32"/>
          <w:szCs w:val="32"/>
        </w:rPr>
        <w:t xml:space="preserve">  </w:t>
      </w:r>
    </w:p>
    <w:p>
      <w:pPr>
        <w:pStyle w:val="3"/>
        <w:snapToGrid w:val="0"/>
        <w:spacing w:before="0" w:after="0" w:line="240" w:lineRule="auto"/>
        <w:jc w:val="center"/>
        <w:rPr>
          <w:rFonts w:hAnsi="宋体"/>
          <w:sz w:val="32"/>
          <w:szCs w:val="32"/>
        </w:rPr>
      </w:pPr>
    </w:p>
    <w:bookmarkEnd w:id="41"/>
    <w:bookmarkEnd w:id="42"/>
    <w:p>
      <w:pPr>
        <w:ind w:firstLine="3000" w:firstLineChars="1000"/>
        <w:rPr>
          <w:rFonts w:hAnsi="宋体" w:cs="宋体"/>
          <w:sz w:val="30"/>
          <w:szCs w:val="30"/>
        </w:rPr>
      </w:pPr>
      <w:r>
        <w:rPr>
          <w:rFonts w:hint="eastAsia" w:hAnsi="宋体" w:cs="宋体"/>
          <w:sz w:val="30"/>
          <w:szCs w:val="30"/>
        </w:rPr>
        <w:t>第六章 合同主要条款</w:t>
      </w:r>
    </w:p>
    <w:p>
      <w:pPr>
        <w:jc w:val="center"/>
      </w:pPr>
      <w:r>
        <w:rPr>
          <w:rFonts w:hint="eastAsia" w:ascii="Times New Roman" w:hAnsi="宋体" w:cs="宋体"/>
          <w:b/>
          <w:bCs/>
          <w:sz w:val="24"/>
          <w:szCs w:val="24"/>
        </w:rPr>
        <w:t>（</w:t>
      </w:r>
      <w:r>
        <w:rPr>
          <w:rFonts w:hint="eastAsia" w:ascii="Times New Roman" w:hAnsi="宋体" w:cs="宋体"/>
          <w:b/>
          <w:bCs/>
          <w:sz w:val="24"/>
          <w:szCs w:val="24"/>
          <w:lang w:eastAsia="zh-CN"/>
        </w:rPr>
        <w:t>双方协商制订</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pgNumType w:fmt="decimal"/>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3"/>
        <w:tab w:val="right" w:pos="8306"/>
        <w:tab w:val="clear" w:pos="4140"/>
        <w:tab w:val="clear" w:pos="8300"/>
      </w:tabs>
      <w:jc w:val="both"/>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3"/>
        <w:tab w:val="right" w:pos="8306"/>
        <w:tab w:val="clear" w:pos="4140"/>
        <w:tab w:val="clear" w:pos="8300"/>
      </w:tabs>
      <w:jc w:val="both"/>
      <w:rPr>
        <w:rFonts w:hint="default"/>
        <w:lang w:val="en-U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BwzfdS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rPr>
        <w:rFonts w:hAnsi="宋体"/>
      </w:rPr>
    </w:pPr>
    <w:r>
      <w:rPr>
        <w:rFonts w:hint="eastAsia" w:hAnsi="宋体"/>
      </w:rPr>
      <w:t>四川铁道职业学院协同办公系统升级</w:t>
    </w:r>
    <w:r>
      <w:rPr>
        <w:rFonts w:hint="eastAsia" w:hAnsi="宋体"/>
        <w:lang w:eastAsia="zh-CN"/>
      </w:rPr>
      <w:t>服务</w:t>
    </w:r>
    <w:r>
      <w:rPr>
        <w:rFonts w:hint="eastAsia" w:hAnsi="宋体"/>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C8CD2089"/>
    <w:multiLevelType w:val="singleLevel"/>
    <w:tmpl w:val="C8CD2089"/>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63BD27C0"/>
    <w:multiLevelType w:val="singleLevel"/>
    <w:tmpl w:val="63BD27C0"/>
    <w:lvl w:ilvl="0" w:tentative="0">
      <w:start w:val="1"/>
      <w:numFmt w:val="decimal"/>
      <w:lvlText w:val="(%1)"/>
      <w:lvlJc w:val="left"/>
      <w:pPr>
        <w:ind w:left="425" w:hanging="425"/>
      </w:pPr>
      <w:rPr>
        <w:rFonts w:hint="default"/>
      </w:rPr>
    </w:lvl>
  </w:abstractNum>
  <w:abstractNum w:abstractNumId="7">
    <w:nsid w:val="64A13D97"/>
    <w:multiLevelType w:val="singleLevel"/>
    <w:tmpl w:val="64A13D97"/>
    <w:lvl w:ilvl="0" w:tentative="0">
      <w:start w:val="1"/>
      <w:numFmt w:val="decimal"/>
      <w:lvlText w:val="%1."/>
      <w:lvlJc w:val="left"/>
      <w:pPr>
        <w:tabs>
          <w:tab w:val="left" w:pos="312"/>
        </w:tabs>
      </w:p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D5224"/>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64D65"/>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23AE"/>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A6C5E"/>
    <w:rsid w:val="005C0690"/>
    <w:rsid w:val="005C5953"/>
    <w:rsid w:val="005D660E"/>
    <w:rsid w:val="005D76BC"/>
    <w:rsid w:val="005F271A"/>
    <w:rsid w:val="005F3651"/>
    <w:rsid w:val="005F6D20"/>
    <w:rsid w:val="006076D0"/>
    <w:rsid w:val="0064548D"/>
    <w:rsid w:val="00672B28"/>
    <w:rsid w:val="0068224E"/>
    <w:rsid w:val="00691FBB"/>
    <w:rsid w:val="006A04FB"/>
    <w:rsid w:val="006B3B23"/>
    <w:rsid w:val="006B634A"/>
    <w:rsid w:val="006B64B2"/>
    <w:rsid w:val="006C59D1"/>
    <w:rsid w:val="006C7451"/>
    <w:rsid w:val="006E3DDB"/>
    <w:rsid w:val="006F06EF"/>
    <w:rsid w:val="006F4716"/>
    <w:rsid w:val="00702252"/>
    <w:rsid w:val="007129AB"/>
    <w:rsid w:val="00722B66"/>
    <w:rsid w:val="00731735"/>
    <w:rsid w:val="00735742"/>
    <w:rsid w:val="00737A85"/>
    <w:rsid w:val="00740C17"/>
    <w:rsid w:val="007432C8"/>
    <w:rsid w:val="007615C4"/>
    <w:rsid w:val="00764FE2"/>
    <w:rsid w:val="0076501E"/>
    <w:rsid w:val="00767976"/>
    <w:rsid w:val="00771D10"/>
    <w:rsid w:val="00786217"/>
    <w:rsid w:val="007956B7"/>
    <w:rsid w:val="007D1094"/>
    <w:rsid w:val="007D60BE"/>
    <w:rsid w:val="007E3542"/>
    <w:rsid w:val="007F62D2"/>
    <w:rsid w:val="00815FBB"/>
    <w:rsid w:val="00823CD6"/>
    <w:rsid w:val="00826300"/>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3978"/>
    <w:rsid w:val="008C4C5D"/>
    <w:rsid w:val="008D4B57"/>
    <w:rsid w:val="008E283A"/>
    <w:rsid w:val="008E5AFD"/>
    <w:rsid w:val="008F1768"/>
    <w:rsid w:val="008F483A"/>
    <w:rsid w:val="008F5D03"/>
    <w:rsid w:val="00900A6F"/>
    <w:rsid w:val="00907738"/>
    <w:rsid w:val="009123FA"/>
    <w:rsid w:val="00916D1E"/>
    <w:rsid w:val="00927129"/>
    <w:rsid w:val="0093288F"/>
    <w:rsid w:val="00935B90"/>
    <w:rsid w:val="00940E1F"/>
    <w:rsid w:val="00953907"/>
    <w:rsid w:val="009541A1"/>
    <w:rsid w:val="00956AE4"/>
    <w:rsid w:val="00964782"/>
    <w:rsid w:val="00983489"/>
    <w:rsid w:val="009871F3"/>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40BC"/>
    <w:rsid w:val="00A26126"/>
    <w:rsid w:val="00A27709"/>
    <w:rsid w:val="00A415A9"/>
    <w:rsid w:val="00A57A27"/>
    <w:rsid w:val="00A62532"/>
    <w:rsid w:val="00A7009A"/>
    <w:rsid w:val="00A92172"/>
    <w:rsid w:val="00A9666E"/>
    <w:rsid w:val="00AA1D32"/>
    <w:rsid w:val="00AA4F6C"/>
    <w:rsid w:val="00AE0E42"/>
    <w:rsid w:val="00AE5591"/>
    <w:rsid w:val="00B10AC3"/>
    <w:rsid w:val="00B35C4C"/>
    <w:rsid w:val="00B52A09"/>
    <w:rsid w:val="00B634A6"/>
    <w:rsid w:val="00B826F7"/>
    <w:rsid w:val="00B90D65"/>
    <w:rsid w:val="00B92137"/>
    <w:rsid w:val="00BA04EB"/>
    <w:rsid w:val="00BA1E3F"/>
    <w:rsid w:val="00BA7A4D"/>
    <w:rsid w:val="00BB101F"/>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5270"/>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0FF5B85"/>
    <w:rsid w:val="01181DD9"/>
    <w:rsid w:val="015B76C5"/>
    <w:rsid w:val="01630F53"/>
    <w:rsid w:val="016853DB"/>
    <w:rsid w:val="017C78FF"/>
    <w:rsid w:val="019C23B2"/>
    <w:rsid w:val="01A26E08"/>
    <w:rsid w:val="01B31FD7"/>
    <w:rsid w:val="01DA1E97"/>
    <w:rsid w:val="01E22B26"/>
    <w:rsid w:val="01E65CA9"/>
    <w:rsid w:val="01E96C2E"/>
    <w:rsid w:val="02335DA9"/>
    <w:rsid w:val="024622F7"/>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283050"/>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1D60E59"/>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094D46"/>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AE26BA1"/>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151E9B"/>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7C0564"/>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BFF3834"/>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16837"/>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96277D"/>
    <w:rsid w:val="53DF5628"/>
    <w:rsid w:val="53F6304F"/>
    <w:rsid w:val="54103BF9"/>
    <w:rsid w:val="542776F4"/>
    <w:rsid w:val="54436421"/>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3602F6"/>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420E29"/>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A70D5"/>
    <w:rsid w:val="796A639A"/>
    <w:rsid w:val="7970564B"/>
    <w:rsid w:val="799022FC"/>
    <w:rsid w:val="79980C33"/>
    <w:rsid w:val="79A044B0"/>
    <w:rsid w:val="79B85A3F"/>
    <w:rsid w:val="79DA44F4"/>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BFE5183"/>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paragraph" w:styleId="2">
    <w:name w:val="heading 4"/>
    <w:basedOn w:val="1"/>
    <w:next w:val="1"/>
    <w:qFormat/>
    <w:uiPriority w:val="0"/>
    <w:pPr>
      <w:keepNext/>
      <w:keepLines/>
      <w:spacing w:before="120" w:after="120" w:line="360" w:lineRule="auto"/>
      <w:outlineLvl w:val="3"/>
    </w:pPr>
    <w:rPr>
      <w:rFonts w:hAnsi="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2"/>
    <w:qFormat/>
    <w:uiPriority w:val="0"/>
    <w:pPr>
      <w:ind w:firstLine="420" w:firstLineChars="200"/>
    </w:pPr>
    <w:rPr>
      <w:rFonts w:ascii="Times New Roman"/>
      <w:kern w:val="2"/>
      <w:sz w:val="21"/>
      <w:szCs w:val="24"/>
    </w:rPr>
  </w:style>
  <w:style w:type="paragraph" w:styleId="7">
    <w:name w:val="annotation text"/>
    <w:basedOn w:val="1"/>
    <w:qFormat/>
    <w:uiPriority w:val="0"/>
    <w:pPr>
      <w:jc w:val="left"/>
    </w:pPr>
    <w:rPr>
      <w:rFonts w:ascii="Times New Roman"/>
    </w:rPr>
  </w:style>
  <w:style w:type="paragraph" w:styleId="8">
    <w:name w:val="Body Text"/>
    <w:basedOn w:val="1"/>
    <w:qFormat/>
    <w:uiPriority w:val="0"/>
    <w:pPr>
      <w:spacing w:after="120"/>
    </w:pPr>
    <w:rPr>
      <w:rFonts w:ascii="Times New Roman"/>
    </w:rPr>
  </w:style>
  <w:style w:type="paragraph" w:styleId="9">
    <w:name w:val="Body Text Indent"/>
    <w:basedOn w:val="1"/>
    <w:link w:val="40"/>
    <w:qFormat/>
    <w:uiPriority w:val="0"/>
    <w:pPr>
      <w:ind w:firstLine="630"/>
    </w:pPr>
    <w:rPr>
      <w:rFonts w:ascii="Times New Roman"/>
      <w:kern w:val="2"/>
      <w:sz w:val="32"/>
    </w:rPr>
  </w:style>
  <w:style w:type="paragraph" w:styleId="10">
    <w:name w:val="Plain Text"/>
    <w:basedOn w:val="1"/>
    <w:link w:val="49"/>
    <w:qFormat/>
    <w:uiPriority w:val="0"/>
    <w:rPr>
      <w:rFonts w:hAnsi="Courier New"/>
      <w:kern w:val="2"/>
      <w:sz w:val="21"/>
    </w:rPr>
  </w:style>
  <w:style w:type="paragraph" w:styleId="11">
    <w:name w:val="Body Text Indent 2"/>
    <w:basedOn w:val="1"/>
    <w:qFormat/>
    <w:uiPriority w:val="0"/>
    <w:pPr>
      <w:ind w:firstLine="630"/>
    </w:pPr>
    <w:rPr>
      <w:sz w:val="32"/>
      <w:szCs w:val="32"/>
    </w:rPr>
  </w:style>
  <w:style w:type="paragraph" w:styleId="12">
    <w:name w:val="Balloon Text"/>
    <w:basedOn w:val="1"/>
    <w:qFormat/>
    <w:uiPriority w:val="0"/>
    <w:rPr>
      <w:rFonts w:ascii="Times New Roman"/>
      <w:sz w:val="18"/>
      <w:szCs w:val="18"/>
    </w:rPr>
  </w:style>
  <w:style w:type="paragraph" w:styleId="13">
    <w:name w:val="footer"/>
    <w:basedOn w:val="1"/>
    <w:qFormat/>
    <w:uiPriority w:val="0"/>
    <w:pPr>
      <w:tabs>
        <w:tab w:val="center" w:pos="4140"/>
        <w:tab w:val="right" w:pos="8300"/>
      </w:tabs>
      <w:jc w:val="left"/>
    </w:pPr>
    <w:rPr>
      <w:sz w:val="18"/>
      <w:szCs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0"/>
  </w:style>
  <w:style w:type="paragraph" w:styleId="16">
    <w:name w:val="Body Text Indent 3"/>
    <w:basedOn w:val="1"/>
    <w:qFormat/>
    <w:uiPriority w:val="0"/>
    <w:pPr>
      <w:spacing w:after="120"/>
      <w:ind w:left="420" w:leftChars="200"/>
    </w:pPr>
    <w:rPr>
      <w:rFonts w:ascii="Times New Roman"/>
      <w:sz w:val="16"/>
      <w:szCs w:val="16"/>
    </w:rPr>
  </w:style>
  <w:style w:type="paragraph" w:styleId="17">
    <w:name w:val="toc 2"/>
    <w:basedOn w:val="1"/>
    <w:next w:val="1"/>
    <w:qFormat/>
    <w:uiPriority w:val="0"/>
    <w:pPr>
      <w:ind w:left="420" w:leftChars="200"/>
    </w:pPr>
    <w:rPr>
      <w:rFonts w:ascii="Times New Roman"/>
    </w:rPr>
  </w:style>
  <w:style w:type="paragraph" w:styleId="18">
    <w:name w:val="Body Text 2"/>
    <w:basedOn w:val="1"/>
    <w:qFormat/>
    <w:uiPriority w:val="0"/>
    <w:pPr>
      <w:spacing w:line="480" w:lineRule="auto"/>
    </w:pPr>
    <w:rPr>
      <w:rFonts w:ascii="Times New Roman"/>
    </w:r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Times New Roman" w:hAnsi="Times New Roman" w:eastAsia="宋体" w:cs="Times New Roman"/>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Arial" w:hAnsi="Arial" w:eastAsia="宋体" w:cs="Arial"/>
      <w:color w:val="007CD2"/>
      <w:sz w:val="24"/>
      <w:szCs w:val="24"/>
      <w:u w:val="none"/>
    </w:rPr>
  </w:style>
  <w:style w:type="character" w:styleId="26">
    <w:name w:val="Hyperlink"/>
    <w:qFormat/>
    <w:uiPriority w:val="0"/>
    <w:rPr>
      <w:rFonts w:ascii="Times New Roman" w:hAnsi="Times New Roman" w:eastAsia="宋体" w:cs="Times New Roman"/>
      <w:color w:val="0000FF"/>
      <w:u w:val="single"/>
    </w:rPr>
  </w:style>
  <w:style w:type="character" w:styleId="27">
    <w:name w:val="annotation reference"/>
    <w:qFormat/>
    <w:uiPriority w:val="0"/>
    <w:rPr>
      <w:rFonts w:cs="Times New Roman"/>
      <w:sz w:val="21"/>
      <w:szCs w:val="21"/>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字符"/>
    <w:link w:val="6"/>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字符"/>
    <w:link w:val="9"/>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字符"/>
    <w:link w:val="10"/>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0"/>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5">
    <w:name w:val="List Paragraph1"/>
    <w:basedOn w:val="1"/>
    <w:qFormat/>
    <w:uiPriority w:val="99"/>
    <w:pPr>
      <w:ind w:firstLine="420" w:firstLineChars="200"/>
    </w:pPr>
    <w:rPr>
      <w:rFonts w:ascii="Times New Roman"/>
      <w:szCs w:val="34"/>
    </w:rPr>
  </w:style>
  <w:style w:type="paragraph" w:customStyle="1" w:styleId="66">
    <w:name w:val="0"/>
    <w:qFormat/>
    <w:uiPriority w:val="0"/>
    <w:pPr>
      <w:snapToGrid w:val="0"/>
    </w:pPr>
    <w:rPr>
      <w:rFonts w:ascii="Calibri" w:hAnsi="Calibri" w:eastAsia="宋体" w:cs="Times New Roman"/>
      <w:lang w:val="en-US" w:eastAsia="zh-CN" w:bidi="ar-SA"/>
    </w:rPr>
  </w:style>
  <w:style w:type="paragraph" w:customStyle="1" w:styleId="67">
    <w:name w:val="pa-8"/>
    <w:basedOn w:val="1"/>
    <w:qFormat/>
    <w:uiPriority w:val="0"/>
    <w:pPr>
      <w:widowControl/>
      <w:spacing w:before="150" w:after="150"/>
      <w:jc w:val="left"/>
    </w:pPr>
    <w:rPr>
      <w:rFonts w:hAnsi="宋体" w:cs="宋体"/>
      <w:sz w:val="24"/>
      <w:szCs w:val="24"/>
    </w:rPr>
  </w:style>
  <w:style w:type="paragraph" w:customStyle="1" w:styleId="68">
    <w:name w:val="+正文"/>
    <w:basedOn w:val="1"/>
    <w:qFormat/>
    <w:uiPriority w:val="0"/>
    <w:pPr>
      <w:spacing w:line="360" w:lineRule="auto"/>
      <w:ind w:firstLine="200" w:firstLineChars="200"/>
    </w:pPr>
    <w:rPr>
      <w:rFonts w:ascii="Times New Roman" w:eastAsia="楷体_GB2312"/>
      <w:szCs w:val="28"/>
    </w:rPr>
  </w:style>
  <w:style w:type="paragraph" w:styleId="6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0">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1">
    <w:name w:val="样式 首行缩进:  2 字符"/>
    <w:basedOn w:val="1"/>
    <w:qFormat/>
    <w:uiPriority w:val="0"/>
    <w:pPr>
      <w:spacing w:line="400" w:lineRule="exact"/>
      <w:ind w:firstLine="200" w:firstLineChars="200"/>
    </w:pPr>
    <w:rPr>
      <w:rFonts w:ascii="Times New Roman" w:cs="宋体"/>
      <w:sz w:val="24"/>
    </w:rPr>
  </w:style>
  <w:style w:type="paragraph" w:customStyle="1" w:styleId="72">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4">
    <w:name w:val="首行缩进"/>
    <w:basedOn w:val="1"/>
    <w:qFormat/>
    <w:uiPriority w:val="99"/>
    <w:pPr>
      <w:spacing w:line="360" w:lineRule="auto"/>
      <w:ind w:firstLine="480" w:firstLineChars="200"/>
      <w:jc w:val="left"/>
    </w:pPr>
    <w:rPr>
      <w:rFonts w:hAnsi="宋体"/>
      <w:sz w:val="24"/>
    </w:rPr>
  </w:style>
  <w:style w:type="paragraph" w:customStyle="1" w:styleId="75">
    <w:name w:val="正文 A"/>
    <w:next w:val="76"/>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table" w:customStyle="1" w:styleId="77">
    <w:name w:val="网格型1"/>
    <w:basedOn w:val="2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12、表格内左对齐正文"/>
    <w:basedOn w:val="1"/>
    <w:qFormat/>
    <w:uiPriority w:val="0"/>
    <w:pPr>
      <w:tabs>
        <w:tab w:val="left" w:pos="0"/>
      </w:tabs>
      <w:wordWrap w:val="0"/>
      <w:topLinePunct/>
      <w:adjustRightInd w:val="0"/>
      <w:snapToGrid w:val="0"/>
      <w:spacing w:line="360" w:lineRule="exact"/>
      <w:ind w:left="48" w:leftChars="20"/>
      <w:jc w:val="left"/>
    </w:pPr>
    <w:rPr>
      <w:rFonts w:hAnsi="宋体"/>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26</Pages>
  <Words>10652</Words>
  <Characters>11109</Characters>
  <Lines>87</Lines>
  <Paragraphs>24</Paragraphs>
  <TotalTime>5</TotalTime>
  <ScaleCrop>false</ScaleCrop>
  <LinksUpToDate>false</LinksUpToDate>
  <CharactersWithSpaces>11388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2023-04-04T03:05:10Z</dcterms:modified>
  <dc:title>招标编号：SCSZ-2013-02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E7558D7948BD46B49D504D1EAC59F27E</vt:lpwstr>
  </property>
</Properties>
</file>