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Ansi="宋体" w:cs="宋体"/>
          <w:bCs/>
          <w:sz w:val="36"/>
          <w:szCs w:val="36"/>
        </w:rPr>
      </w:pPr>
      <w:r>
        <w:rPr>
          <w:rFonts w:hint="eastAsia" w:hAnsi="宋体" w:cs="宋体"/>
          <w:bCs/>
          <w:sz w:val="36"/>
          <w:szCs w:val="36"/>
        </w:rPr>
        <w:t>公共教学部课程思政</w:t>
      </w:r>
      <w:r>
        <w:rPr>
          <w:rFonts w:hAnsi="宋体" w:cs="宋体"/>
          <w:bCs/>
          <w:sz w:val="36"/>
          <w:szCs w:val="36"/>
        </w:rPr>
        <w:t>建设项目</w:t>
      </w:r>
    </w:p>
    <w:p>
      <w:pPr>
        <w:snapToGrid w:val="0"/>
        <w:spacing w:line="360" w:lineRule="auto"/>
        <w:ind w:firstLine="3300" w:firstLineChars="1100"/>
        <w:rPr>
          <w:rFonts w:hAnsi="宋体" w:cs="宋体"/>
          <w:bCs/>
          <w:color w:val="000000" w:themeColor="text1"/>
          <w:sz w:val="30"/>
          <w:szCs w:val="30"/>
          <w14:textFill>
            <w14:solidFill>
              <w14:schemeClr w14:val="tx1"/>
            </w14:solidFill>
          </w14:textFill>
        </w:rPr>
      </w:pPr>
      <w:r>
        <w:rPr>
          <w:rFonts w:hint="eastAsia" w:hAnsi="宋体" w:cs="宋体"/>
          <w:bCs/>
          <w:sz w:val="30"/>
          <w:szCs w:val="30"/>
        </w:rPr>
        <w:t>采购编号：TZY-ZB-</w:t>
      </w:r>
      <w:r>
        <w:rPr>
          <w:rFonts w:hint="eastAsia" w:hAnsi="宋体" w:cs="宋体"/>
          <w:bCs/>
          <w:color w:val="000000" w:themeColor="text1"/>
          <w:sz w:val="30"/>
          <w:szCs w:val="30"/>
          <w14:textFill>
            <w14:solidFill>
              <w14:schemeClr w14:val="tx1"/>
            </w14:solidFill>
          </w14:textFill>
        </w:rPr>
        <w:t>2022</w:t>
      </w:r>
      <w:r>
        <w:rPr>
          <w:rFonts w:hAnsi="宋体" w:cs="宋体"/>
          <w:bCs/>
          <w:color w:val="000000" w:themeColor="text1"/>
          <w:sz w:val="30"/>
          <w:szCs w:val="30"/>
          <w14:textFill>
            <w14:solidFill>
              <w14:schemeClr w14:val="tx1"/>
            </w14:solidFill>
          </w14:textFill>
        </w:rPr>
        <w:t>02</w:t>
      </w:r>
      <w:r>
        <w:rPr>
          <w:rFonts w:hint="eastAsia" w:hAnsi="宋体" w:cs="宋体"/>
          <w:bCs/>
          <w:color w:val="000000" w:themeColor="text1"/>
          <w:sz w:val="30"/>
          <w:szCs w:val="30"/>
          <w14:textFill>
            <w14:solidFill>
              <w14:schemeClr w14:val="tx1"/>
            </w14:solidFill>
          </w14:textFill>
        </w:rPr>
        <w:t>3</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2022</w:t>
      </w:r>
      <w:r>
        <w:rPr>
          <w:rFonts w:hint="eastAsia" w:hAnsi="宋体" w:cs="宋体"/>
          <w:bCs/>
          <w:sz w:val="30"/>
          <w:szCs w:val="30"/>
          <w:lang w:val="zh-CN"/>
        </w:rPr>
        <w:t>年</w:t>
      </w:r>
      <w:r>
        <w:rPr>
          <w:rFonts w:hint="eastAsia" w:hAnsi="宋体" w:cs="宋体"/>
          <w:bCs/>
          <w:sz w:val="30"/>
          <w:szCs w:val="30"/>
        </w:rPr>
        <w:t xml:space="preserve"> </w:t>
      </w:r>
      <w:r>
        <w:rPr>
          <w:rFonts w:hAnsi="宋体" w:cs="宋体"/>
          <w:bCs/>
          <w:sz w:val="30"/>
          <w:szCs w:val="30"/>
        </w:rPr>
        <w:t>8</w:t>
      </w:r>
      <w:r>
        <w:rPr>
          <w:rFonts w:hint="eastAsia" w:hAnsi="宋体" w:cs="宋体"/>
          <w:bCs/>
          <w:sz w:val="30"/>
          <w:szCs w:val="30"/>
          <w:lang w:val="zh-CN"/>
        </w:rPr>
        <w:t>月</w:t>
      </w:r>
      <w:bookmarkStart w:id="0" w:name="_Hlt101233737"/>
      <w:bookmarkEnd w:id="0"/>
      <w:bookmarkStart w:id="1" w:name="_Hlt10184362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6"/>
          <w:rFonts w:ascii="宋体" w:hAnsi="宋体" w:cs="宋体"/>
          <w:color w:val="auto"/>
          <w:kern w:val="2"/>
          <w:sz w:val="44"/>
          <w:szCs w:val="44"/>
          <w:u w:val="none"/>
        </w:rPr>
      </w:pPr>
      <w:r>
        <w:rPr>
          <w:rStyle w:val="26"/>
          <w:rFonts w:hint="eastAsia" w:ascii="宋体" w:hAnsi="宋体" w:cs="宋体"/>
          <w:color w:val="auto"/>
          <w:kern w:val="2"/>
          <w:sz w:val="44"/>
          <w:szCs w:val="44"/>
          <w:u w:val="none"/>
        </w:rPr>
        <w:t>目    录</w:t>
      </w:r>
    </w:p>
    <w:p/>
    <w:p>
      <w:pPr>
        <w:pStyle w:val="15"/>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3</w:t>
      </w:r>
    </w:p>
    <w:p>
      <w:pPr>
        <w:pStyle w:val="15"/>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9</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6</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19"/>
      <w:bookmarkStart w:id="3" w:name="_Hlt360036320"/>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4</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6</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4"/>
        <w:snapToGrid w:val="0"/>
        <w:spacing w:before="0" w:after="0" w:line="360" w:lineRule="auto"/>
        <w:jc w:val="center"/>
        <w:rPr>
          <w:rFonts w:hAnsi="宋体" w:cs="宋体"/>
          <w:sz w:val="30"/>
          <w:szCs w:val="30"/>
        </w:rPr>
      </w:pPr>
      <w:bookmarkStart w:id="4" w:name="_Toc30896"/>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四川铁道职业学院 </w:t>
      </w:r>
      <w:r>
        <w:rPr>
          <w:rFonts w:hint="eastAsia" w:hAnsi="宋体" w:cs="宋体"/>
          <w:bCs/>
          <w:sz w:val="24"/>
          <w:szCs w:val="24"/>
        </w:rPr>
        <w:t>就</w:t>
      </w:r>
      <w:r>
        <w:rPr>
          <w:rFonts w:hint="eastAsia" w:hAnsi="宋体" w:cs="宋体"/>
          <w:bCs/>
          <w:sz w:val="24"/>
          <w:szCs w:val="24"/>
          <w:u w:val="single"/>
        </w:rPr>
        <w:t>公共教学部课程思政建设</w:t>
      </w:r>
      <w:r>
        <w:rPr>
          <w:rFonts w:hint="eastAsia" w:hAnsi="宋体" w:cs="宋体"/>
          <w:bCs/>
          <w:sz w:val="24"/>
          <w:szCs w:val="24"/>
        </w:rPr>
        <w:t>项目进行公开招标，兹邀请符合本次招标要求的供应商参加投标</w:t>
      </w:r>
      <w:r>
        <w:rPr>
          <w:rFonts w:hint="eastAsia" w:hAnsi="宋体" w:cs="宋体"/>
          <w:sz w:val="24"/>
          <w:szCs w:val="24"/>
        </w:rPr>
        <w:t>。</w:t>
      </w:r>
    </w:p>
    <w:p>
      <w:pPr>
        <w:pStyle w:val="9"/>
        <w:numPr>
          <w:ilvl w:val="0"/>
          <w:numId w:val="2"/>
        </w:numPr>
        <w:snapToGrid w:val="0"/>
        <w:spacing w:line="360" w:lineRule="auto"/>
        <w:ind w:firstLine="441" w:firstLineChars="183"/>
        <w:rPr>
          <w:rFonts w:hAnsi="宋体" w:cs="宋体"/>
          <w:color w:val="000000" w:themeColor="text1"/>
          <w:sz w:val="24"/>
          <w:szCs w:val="24"/>
          <w:shd w:val="clear" w:color="auto" w:fill="FFFFFF"/>
          <w14:textFill>
            <w14:solidFill>
              <w14:schemeClr w14:val="tx1"/>
            </w14:solidFill>
          </w14:textFill>
        </w:rPr>
      </w:pPr>
      <w:r>
        <w:rPr>
          <w:rFonts w:hint="eastAsia" w:ascii="宋体" w:hAnsi="宋体" w:cs="宋体"/>
          <w:b/>
          <w:sz w:val="24"/>
          <w:szCs w:val="24"/>
        </w:rPr>
        <w:t>招标编号：</w:t>
      </w:r>
      <w:r>
        <w:rPr>
          <w:rFonts w:hAnsi="宋体" w:cs="宋体"/>
          <w:color w:val="000000" w:themeColor="text1"/>
          <w:sz w:val="24"/>
          <w:szCs w:val="24"/>
          <w:shd w:val="clear" w:color="auto" w:fill="FFFFFF"/>
          <w14:textFill>
            <w14:solidFill>
              <w14:schemeClr w14:val="tx1"/>
            </w14:solidFill>
          </w14:textFill>
        </w:rPr>
        <w:t xml:space="preserve"> </w:t>
      </w:r>
      <w:r>
        <w:rPr>
          <w:rFonts w:hint="eastAsia" w:hAnsi="宋体" w:cs="宋体"/>
          <w:color w:val="000000" w:themeColor="text1"/>
          <w:sz w:val="24"/>
          <w:szCs w:val="24"/>
          <w:shd w:val="clear" w:color="auto" w:fill="FFFFFF"/>
          <w14:textFill>
            <w14:solidFill>
              <w14:schemeClr w14:val="tx1"/>
            </w14:solidFill>
          </w14:textFill>
        </w:rPr>
        <w:t>TZY--ZB-2022023</w:t>
      </w:r>
    </w:p>
    <w:p>
      <w:pPr>
        <w:pStyle w:val="9"/>
        <w:numPr>
          <w:ilvl w:val="0"/>
          <w:numId w:val="2"/>
        </w:numPr>
        <w:snapToGrid w:val="0"/>
        <w:spacing w:line="360" w:lineRule="auto"/>
        <w:ind w:firstLine="441" w:firstLineChars="183"/>
        <w:rPr>
          <w:rFonts w:ascii="宋体" w:hAnsi="宋体" w:cs="宋体"/>
          <w:sz w:val="24"/>
          <w:szCs w:val="24"/>
          <w:lang w:val="zh-CN"/>
        </w:rPr>
      </w:pPr>
      <w:r>
        <w:rPr>
          <w:rFonts w:hint="eastAsia" w:ascii="宋体" w:hAnsi="宋体" w:cs="宋体"/>
          <w:b/>
          <w:sz w:val="24"/>
          <w:szCs w:val="24"/>
        </w:rPr>
        <w:t>招标项目：</w:t>
      </w:r>
      <w:r>
        <w:rPr>
          <w:rFonts w:hint="eastAsia" w:ascii="宋体" w:hAnsi="宋体" w:cs="宋体"/>
          <w:b/>
          <w:sz w:val="24"/>
          <w:szCs w:val="24"/>
          <w:u w:val="single"/>
        </w:rPr>
        <w:t xml:space="preserve">  </w:t>
      </w:r>
      <w:r>
        <w:rPr>
          <w:rFonts w:hint="eastAsia" w:hAnsi="宋体" w:cs="宋体"/>
          <w:b/>
          <w:bCs/>
          <w:sz w:val="24"/>
          <w:szCs w:val="24"/>
          <w:u w:val="single"/>
        </w:rPr>
        <w:t>公共教学部课程思政建设</w:t>
      </w:r>
      <w:r>
        <w:rPr>
          <w:rFonts w:hint="eastAsia" w:hAnsi="宋体"/>
          <w:color w:val="000000"/>
          <w:sz w:val="24"/>
          <w:szCs w:val="24"/>
          <w:u w:val="single"/>
        </w:rPr>
        <w:t xml:space="preserve"> </w:t>
      </w:r>
      <w:r>
        <w:rPr>
          <w:rFonts w:hint="eastAsia" w:ascii="宋体" w:hAnsi="宋体" w:cs="宋体"/>
          <w:bCs/>
          <w:sz w:val="24"/>
          <w:szCs w:val="24"/>
          <w:u w:val="single"/>
        </w:rPr>
        <w:t xml:space="preserve"> </w:t>
      </w:r>
      <w:r>
        <w:rPr>
          <w:rFonts w:hint="eastAsia" w:ascii="宋体" w:hAnsi="宋体" w:cs="宋体"/>
          <w:bCs/>
          <w:sz w:val="24"/>
          <w:szCs w:val="24"/>
        </w:rPr>
        <w:t>项目</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960" w:firstLineChars="400"/>
        <w:rPr>
          <w:rFonts w:hAnsi="宋体" w:cs="宋体"/>
          <w:sz w:val="24"/>
          <w:szCs w:val="24"/>
        </w:rPr>
      </w:pPr>
      <w:r>
        <w:rPr>
          <w:rFonts w:hint="eastAsia" w:hAnsi="宋体" w:cs="宋体"/>
          <w:sz w:val="24"/>
          <w:szCs w:val="24"/>
        </w:rPr>
        <w:t>详见第四章</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1.具有独立承担民事责任的能力；</w:t>
      </w:r>
    </w:p>
    <w:p>
      <w:pPr>
        <w:snapToGrid w:val="0"/>
        <w:spacing w:line="360" w:lineRule="auto"/>
        <w:ind w:firstLine="480" w:firstLineChars="200"/>
        <w:rPr>
          <w:rFonts w:hAnsi="宋体" w:cs="宋体"/>
          <w:sz w:val="24"/>
          <w:szCs w:val="24"/>
        </w:rPr>
      </w:pPr>
      <w:r>
        <w:rPr>
          <w:rFonts w:hint="eastAsia" w:hAnsi="宋体" w:cs="宋体"/>
          <w:sz w:val="24"/>
          <w:szCs w:val="24"/>
        </w:rPr>
        <w:t>2.具有良好的商业信誉和健全的财务会计制度；</w:t>
      </w:r>
    </w:p>
    <w:p>
      <w:pPr>
        <w:snapToGrid w:val="0"/>
        <w:spacing w:line="360" w:lineRule="auto"/>
        <w:ind w:firstLine="480" w:firstLineChars="200"/>
        <w:rPr>
          <w:rFonts w:hAnsi="宋体" w:cs="宋体"/>
          <w:sz w:val="24"/>
          <w:szCs w:val="24"/>
        </w:rPr>
      </w:pPr>
      <w:r>
        <w:rPr>
          <w:rFonts w:hint="eastAsia" w:hAnsi="宋体" w:cs="宋体"/>
          <w:sz w:val="24"/>
          <w:szCs w:val="24"/>
        </w:rPr>
        <w:t>3.具有履行合同所必须的设备和专业技术能力；</w:t>
      </w:r>
    </w:p>
    <w:p>
      <w:pPr>
        <w:snapToGrid w:val="0"/>
        <w:spacing w:line="360" w:lineRule="auto"/>
        <w:ind w:firstLine="480" w:firstLineChars="200"/>
        <w:rPr>
          <w:rFonts w:hAnsi="宋体" w:cs="宋体"/>
          <w:sz w:val="24"/>
          <w:szCs w:val="24"/>
        </w:rPr>
      </w:pPr>
      <w:r>
        <w:rPr>
          <w:rFonts w:hint="eastAsia" w:hAnsi="宋体" w:cs="宋体"/>
          <w:sz w:val="24"/>
          <w:szCs w:val="24"/>
        </w:rPr>
        <w:t>4.具有依法缴纳税收和社会保障资金的良好记录；</w:t>
      </w:r>
    </w:p>
    <w:p>
      <w:pPr>
        <w:snapToGrid w:val="0"/>
        <w:spacing w:line="360" w:lineRule="auto"/>
        <w:ind w:firstLine="480" w:firstLineChars="200"/>
        <w:rPr>
          <w:rFonts w:hAnsi="宋体" w:cs="宋体"/>
          <w:sz w:val="24"/>
          <w:szCs w:val="24"/>
        </w:rPr>
      </w:pPr>
      <w:r>
        <w:rPr>
          <w:rFonts w:hint="eastAsia" w:hAnsi="宋体" w:cs="宋体"/>
          <w:sz w:val="24"/>
          <w:szCs w:val="24"/>
        </w:rPr>
        <w:t>5.参加本次政府采购活动前三年内，在经营活动中没有重大违法违规记录；</w:t>
      </w:r>
    </w:p>
    <w:p>
      <w:pPr>
        <w:widowControl/>
        <w:ind w:left="716" w:leftChars="140" w:hanging="240" w:hangingChars="100"/>
        <w:jc w:val="left"/>
        <w:rPr>
          <w:rFonts w:hAnsi="宋体" w:cs="宋体"/>
          <w:sz w:val="24"/>
          <w:szCs w:val="24"/>
        </w:rPr>
      </w:pPr>
      <w:r>
        <w:rPr>
          <w:rFonts w:hint="eastAsia" w:hAnsi="宋体" w:cs="宋体"/>
          <w:sz w:val="24"/>
          <w:szCs w:val="24"/>
        </w:rPr>
        <w:t>6.供应商需提供四川省内本科或高职院校使用证明文件（</w:t>
      </w:r>
      <w:r>
        <w:rPr>
          <w:rFonts w:hAnsi="宋体" w:cs="宋体"/>
          <w:sz w:val="24"/>
          <w:szCs w:val="24"/>
          <w:lang w:bidi="ar"/>
        </w:rPr>
        <w:t>提供网络通识课程合同业绩案例</w:t>
      </w:r>
      <w:r>
        <w:rPr>
          <w:rFonts w:hint="eastAsia" w:hAnsi="宋体" w:cs="宋体"/>
          <w:sz w:val="24"/>
          <w:szCs w:val="24"/>
          <w:lang w:bidi="ar"/>
        </w:rPr>
        <w:t>）</w:t>
      </w:r>
    </w:p>
    <w:p>
      <w:pPr>
        <w:snapToGrid w:val="0"/>
        <w:spacing w:line="360" w:lineRule="auto"/>
        <w:ind w:firstLine="480" w:firstLineChars="200"/>
        <w:rPr>
          <w:rFonts w:hAnsi="宋体" w:cs="宋体"/>
          <w:sz w:val="24"/>
          <w:szCs w:val="24"/>
        </w:rPr>
      </w:pPr>
      <w:r>
        <w:rPr>
          <w:rFonts w:hint="eastAsia" w:hAnsi="宋体" w:cs="宋体"/>
          <w:sz w:val="24"/>
          <w:szCs w:val="24"/>
        </w:rPr>
        <w:t>7.法律、行政法规规定的其他条件。</w:t>
      </w:r>
    </w:p>
    <w:p>
      <w:pPr>
        <w:snapToGrid w:val="0"/>
        <w:spacing w:line="360" w:lineRule="auto"/>
        <w:ind w:firstLine="479" w:firstLineChars="199"/>
        <w:rPr>
          <w:rFonts w:hAnsi="宋体" w:cs="宋体"/>
          <w:b/>
          <w:sz w:val="24"/>
          <w:szCs w:val="24"/>
        </w:rPr>
      </w:pPr>
    </w:p>
    <w:p>
      <w:pPr>
        <w:snapToGrid w:val="0"/>
        <w:spacing w:line="360" w:lineRule="auto"/>
        <w:ind w:firstLine="479" w:firstLineChars="199"/>
        <w:rPr>
          <w:rFonts w:hAnsi="宋体" w:cs="宋体"/>
          <w:color w:val="FF0000"/>
          <w:sz w:val="24"/>
          <w:szCs w:val="24"/>
        </w:rPr>
      </w:pPr>
      <w:r>
        <w:rPr>
          <w:rFonts w:hint="eastAsia" w:hAnsi="宋体" w:cs="宋体"/>
          <w:b/>
          <w:sz w:val="24"/>
          <w:szCs w:val="24"/>
        </w:rPr>
        <w:t>六、投标截止时间和开标时间：</w:t>
      </w:r>
      <w:r>
        <w:rPr>
          <w:rFonts w:hint="eastAsia" w:hAnsi="宋体" w:cs="宋体"/>
          <w:bCs/>
          <w:sz w:val="24"/>
          <w:szCs w:val="24"/>
        </w:rPr>
        <w:t>2022年8 月</w:t>
      </w:r>
      <w:r>
        <w:rPr>
          <w:rFonts w:hint="eastAsia" w:hAnsi="宋体" w:cs="宋体"/>
          <w:bCs/>
          <w:sz w:val="24"/>
          <w:szCs w:val="24"/>
          <w:lang w:val="en-US" w:eastAsia="zh-CN"/>
        </w:rPr>
        <w:t>24</w:t>
      </w:r>
      <w:r>
        <w:rPr>
          <w:rFonts w:hint="eastAsia" w:hAnsi="宋体" w:cs="宋体"/>
          <w:bCs/>
          <w:sz w:val="24"/>
          <w:szCs w:val="24"/>
        </w:rPr>
        <w:t>日10:00</w:t>
      </w:r>
      <w:r>
        <w:rPr>
          <w:rFonts w:hint="eastAsia" w:hAnsi="宋体" w:cs="宋体"/>
          <w:sz w:val="24"/>
          <w:szCs w:val="24"/>
        </w:rPr>
        <w:t>（北京时间）。</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color w:val="000000"/>
          <w:sz w:val="24"/>
        </w:rPr>
        <w:t>成都市郫都区安德街道彭温路399号四川铁道职业学院后勤基建办公区2F开标室</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特别说明：因疫情期间，为保证安全，请前来投标的商家戴好口罩，准备健康二维码，服从学校管理，做好个人防护。</w:t>
      </w:r>
    </w:p>
    <w:p>
      <w:pPr>
        <w:pStyle w:val="9"/>
        <w:snapToGrid w:val="0"/>
        <w:spacing w:line="360" w:lineRule="auto"/>
        <w:ind w:firstLine="482" w:firstLineChars="200"/>
        <w:rPr>
          <w:rFonts w:hAnsi="宋体" w:cs="宋体"/>
          <w:b/>
          <w:bCs/>
          <w:sz w:val="24"/>
          <w:szCs w:val="24"/>
        </w:rPr>
      </w:pPr>
    </w:p>
    <w:p>
      <w:pPr>
        <w:pStyle w:val="9"/>
        <w:snapToGrid w:val="0"/>
        <w:spacing w:line="360" w:lineRule="auto"/>
        <w:ind w:firstLine="482" w:firstLineChars="200"/>
        <w:rPr>
          <w:rFonts w:ascii="宋体" w:hAnsi="宋体" w:cs="宋体"/>
          <w:sz w:val="24"/>
          <w:szCs w:val="24"/>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color w:val="000000"/>
          <w:sz w:val="24"/>
        </w:rPr>
        <w:t>成都市郫都区安德街道彭温路399号四川铁道职业学院后勤基建办公区2F开标室</w:t>
      </w:r>
      <w:r>
        <w:rPr>
          <w:rFonts w:hint="eastAsia" w:ascii="宋体" w:hAnsi="宋体" w:cs="宋体"/>
          <w:sz w:val="24"/>
          <w:szCs w:val="24"/>
        </w:rPr>
        <w:t>。</w:t>
      </w:r>
    </w:p>
    <w:p>
      <w:pPr>
        <w:pStyle w:val="58"/>
        <w:snapToGrid w:val="0"/>
        <w:ind w:firstLine="479" w:firstLineChars="199"/>
        <w:rPr>
          <w:rFonts w:hAnsi="宋体" w:cs="宋体"/>
          <w:b/>
          <w:sz w:val="24"/>
          <w:szCs w:val="24"/>
        </w:rPr>
      </w:pPr>
    </w:p>
    <w:p>
      <w:pPr>
        <w:pStyle w:val="58"/>
        <w:snapToGrid w:val="0"/>
        <w:ind w:firstLine="479" w:firstLineChars="199"/>
        <w:rPr>
          <w:rFonts w:hAnsi="宋体" w:cs="宋体"/>
          <w:b/>
          <w:sz w:val="24"/>
          <w:szCs w:val="24"/>
        </w:rPr>
      </w:pPr>
    </w:p>
    <w:p>
      <w:pPr>
        <w:pStyle w:val="58"/>
        <w:snapToGrid w:val="0"/>
        <w:ind w:firstLine="479" w:firstLineChars="199"/>
        <w:rPr>
          <w:rFonts w:hAnsi="宋体" w:cs="宋体"/>
          <w:b/>
          <w:sz w:val="24"/>
          <w:szCs w:val="24"/>
        </w:rPr>
      </w:pPr>
    </w:p>
    <w:p>
      <w:pPr>
        <w:pStyle w:val="58"/>
        <w:snapToGrid w:val="0"/>
        <w:ind w:firstLine="479" w:firstLineChars="199"/>
        <w:rPr>
          <w:rFonts w:hAnsi="宋体" w:cs="宋体"/>
          <w:b/>
          <w:sz w:val="24"/>
          <w:szCs w:val="24"/>
        </w:rPr>
      </w:pPr>
    </w:p>
    <w:p>
      <w:pPr>
        <w:pStyle w:val="58"/>
        <w:snapToGrid w:val="0"/>
        <w:ind w:firstLine="961" w:firstLineChars="399"/>
        <w:rPr>
          <w:rFonts w:hAnsi="宋体" w:cs="宋体"/>
          <w:b/>
          <w:sz w:val="24"/>
          <w:szCs w:val="24"/>
        </w:rPr>
      </w:pPr>
      <w:r>
        <w:rPr>
          <w:rFonts w:hint="eastAsia" w:hAnsi="宋体" w:cs="宋体"/>
          <w:b/>
          <w:sz w:val="24"/>
          <w:szCs w:val="24"/>
        </w:rPr>
        <w:t>八、联系方式</w:t>
      </w:r>
    </w:p>
    <w:p>
      <w:pPr>
        <w:pStyle w:val="58"/>
        <w:snapToGrid w:val="0"/>
        <w:ind w:firstLine="950" w:firstLineChars="396"/>
        <w:rPr>
          <w:rFonts w:hAnsi="宋体" w:cs="宋体"/>
          <w:snapToGrid w:val="0"/>
          <w:sz w:val="24"/>
        </w:rPr>
      </w:pPr>
      <w:r>
        <w:rPr>
          <w:rFonts w:hint="eastAsia" w:hAnsi="宋体" w:cs="宋体"/>
          <w:snapToGrid w:val="0"/>
          <w:sz w:val="24"/>
        </w:rPr>
        <w:t>采 购 人：四川铁道职业学院</w:t>
      </w:r>
    </w:p>
    <w:p>
      <w:pPr>
        <w:pStyle w:val="58"/>
        <w:snapToGrid w:val="0"/>
        <w:ind w:firstLine="919" w:firstLineChars="383"/>
        <w:rPr>
          <w:rFonts w:hAnsi="宋体" w:cs="宋体"/>
          <w:color w:val="000000"/>
          <w:sz w:val="24"/>
          <w:highlight w:val="yellow"/>
        </w:rPr>
      </w:pPr>
      <w:r>
        <w:rPr>
          <w:rFonts w:hint="eastAsia" w:hAnsi="宋体" w:cs="宋体"/>
          <w:bCs/>
          <w:color w:val="000000"/>
          <w:sz w:val="24"/>
        </w:rPr>
        <w:t>地    址：</w:t>
      </w:r>
      <w:r>
        <w:rPr>
          <w:rFonts w:hint="eastAsia" w:hAnsi="宋体" w:cs="宋体"/>
          <w:color w:val="000000"/>
          <w:sz w:val="24"/>
        </w:rPr>
        <w:t>成都市郫都区安德街道彭温路399号</w:t>
      </w:r>
    </w:p>
    <w:p>
      <w:pPr>
        <w:pStyle w:val="58"/>
        <w:snapToGrid w:val="0"/>
        <w:ind w:firstLine="960" w:firstLineChars="400"/>
        <w:rPr>
          <w:rFonts w:hAnsi="宋体" w:cs="宋体"/>
          <w:sz w:val="24"/>
        </w:rPr>
      </w:pPr>
      <w:r>
        <w:rPr>
          <w:rFonts w:hint="eastAsia" w:hAnsi="宋体" w:cs="宋体"/>
          <w:color w:val="000000"/>
          <w:sz w:val="24"/>
        </w:rPr>
        <w:t>联 系 人：</w:t>
      </w:r>
      <w:r>
        <w:rPr>
          <w:rFonts w:hint="eastAsia" w:hAnsi="宋体" w:cs="宋体"/>
          <w:sz w:val="24"/>
        </w:rPr>
        <w:t>贺老师 、李老师</w:t>
      </w:r>
    </w:p>
    <w:p>
      <w:pPr>
        <w:pStyle w:val="58"/>
        <w:snapToGrid w:val="0"/>
        <w:ind w:firstLine="919" w:firstLineChars="383"/>
        <w:rPr>
          <w:rFonts w:hAnsi="宋体" w:cs="宋体"/>
          <w:color w:val="000000"/>
          <w:sz w:val="24"/>
        </w:rPr>
      </w:pPr>
      <w:r>
        <w:rPr>
          <w:rFonts w:hint="eastAsia" w:hAnsi="宋体" w:cs="宋体"/>
          <w:color w:val="000000"/>
          <w:sz w:val="24"/>
        </w:rPr>
        <w:t>联系电话：028-68939875   68939887</w:t>
      </w:r>
    </w:p>
    <w:p>
      <w:pPr>
        <w:pStyle w:val="58"/>
        <w:snapToGrid w:val="0"/>
        <w:ind w:firstLine="919" w:firstLineChars="383"/>
        <w:rPr>
          <w:rFonts w:hAnsi="宋体"/>
          <w:sz w:val="24"/>
          <w:szCs w:val="28"/>
        </w:rPr>
      </w:pPr>
      <w:r>
        <w:rPr>
          <w:rFonts w:hint="eastAsia" w:hAnsi="宋体" w:cs="宋体"/>
          <w:sz w:val="24"/>
        </w:rPr>
        <w:t xml:space="preserve">                   </w:t>
      </w:r>
      <w:r>
        <w:rPr>
          <w:rFonts w:hint="eastAsia" w:hAnsi="宋体" w:cs="宋体"/>
          <w:sz w:val="24"/>
        </w:rPr>
        <w:tab/>
      </w:r>
    </w:p>
    <w:p>
      <w:pPr>
        <w:pStyle w:val="19"/>
        <w:snapToGrid w:val="0"/>
        <w:spacing w:before="0" w:beforeAutospacing="0" w:after="0" w:afterAutospacing="0" w:line="360" w:lineRule="auto"/>
        <w:ind w:right="480"/>
        <w:rPr>
          <w:rFonts w:cs="宋体"/>
          <w:sz w:val="24"/>
          <w:szCs w:val="24"/>
        </w:rPr>
        <w:sectPr>
          <w:footerReference r:id="rId5" w:type="default"/>
          <w:pgSz w:w="11907" w:h="16840"/>
          <w:pgMar w:top="1440" w:right="1080" w:bottom="1440" w:left="1080" w:header="851" w:footer="992" w:gutter="0"/>
          <w:pgNumType w:start="1"/>
          <w:cols w:space="720" w:num="1"/>
          <w:docGrid w:linePitch="312" w:charSpace="0"/>
        </w:sectPr>
      </w:pPr>
    </w:p>
    <w:p>
      <w:pPr>
        <w:pStyle w:val="4"/>
        <w:snapToGrid w:val="0"/>
        <w:spacing w:before="0" w:after="0" w:line="360" w:lineRule="auto"/>
        <w:jc w:val="center"/>
        <w:rPr>
          <w:rFonts w:hAnsi="宋体" w:cs="宋体"/>
          <w:sz w:val="30"/>
          <w:szCs w:val="30"/>
        </w:rPr>
      </w:pPr>
      <w:bookmarkStart w:id="5" w:name="_Toc358883242"/>
      <w:bookmarkStart w:id="6" w:name="_Toc213397009"/>
      <w:bookmarkStart w:id="7" w:name="_Toc213496267"/>
      <w:bookmarkStart w:id="8" w:name="_Toc213396759"/>
      <w:bookmarkStart w:id="9" w:name="_Toc217446031"/>
      <w:bookmarkStart w:id="10" w:name="_Toc213396945"/>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189727030"/>
      <w:bookmarkStart w:id="12" w:name="_Toc213396760"/>
      <w:bookmarkStart w:id="13" w:name="_Toc213397010"/>
      <w:bookmarkStart w:id="14" w:name="_Toc213396946"/>
      <w:bookmarkStart w:id="15" w:name="_Toc217446032"/>
      <w:bookmarkStart w:id="16" w:name="_Toc213496268"/>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0"/>
              <w:snapToGrid w:val="0"/>
              <w:spacing w:line="360" w:lineRule="auto"/>
              <w:jc w:val="center"/>
              <w:rPr>
                <w:lang w:val="zh-CN"/>
              </w:rPr>
            </w:pPr>
            <w:r>
              <w:rPr>
                <w:rFonts w:hint="eastAsia"/>
                <w:lang w:val="zh-CN"/>
              </w:rPr>
              <w:t xml:space="preserve">序号 </w:t>
            </w:r>
          </w:p>
        </w:tc>
        <w:tc>
          <w:tcPr>
            <w:tcW w:w="1916" w:type="dxa"/>
            <w:vAlign w:val="center"/>
          </w:tcPr>
          <w:p>
            <w:pPr>
              <w:pStyle w:val="60"/>
              <w:snapToGrid w:val="0"/>
              <w:spacing w:line="360" w:lineRule="auto"/>
              <w:jc w:val="center"/>
              <w:rPr>
                <w:lang w:val="zh-CN"/>
              </w:rPr>
            </w:pPr>
            <w:r>
              <w:rPr>
                <w:rFonts w:hint="eastAsia"/>
                <w:lang w:val="zh-CN"/>
              </w:rPr>
              <w:t xml:space="preserve">应知事项 </w:t>
            </w:r>
          </w:p>
        </w:tc>
        <w:tc>
          <w:tcPr>
            <w:tcW w:w="6819" w:type="dxa"/>
            <w:vAlign w:val="center"/>
          </w:tcPr>
          <w:p>
            <w:pPr>
              <w:pStyle w:val="60"/>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60"/>
              <w:snapToGrid w:val="0"/>
              <w:spacing w:line="360" w:lineRule="auto"/>
              <w:jc w:val="center"/>
            </w:pPr>
            <w:r>
              <w:rPr>
                <w:rFonts w:hint="eastAsia"/>
              </w:rPr>
              <w:t>1</w:t>
            </w:r>
          </w:p>
        </w:tc>
        <w:tc>
          <w:tcPr>
            <w:tcW w:w="1916" w:type="dxa"/>
            <w:vAlign w:val="center"/>
          </w:tcPr>
          <w:p>
            <w:pPr>
              <w:pStyle w:val="60"/>
              <w:snapToGrid w:val="0"/>
              <w:spacing w:line="360" w:lineRule="auto"/>
              <w:jc w:val="center"/>
              <w:rPr>
                <w:lang w:val="zh-CN"/>
              </w:rPr>
            </w:pPr>
            <w:r>
              <w:rPr>
                <w:rFonts w:hint="eastAsia"/>
                <w:lang w:val="zh-CN"/>
              </w:rPr>
              <w:t>采购人</w:t>
            </w:r>
          </w:p>
        </w:tc>
        <w:tc>
          <w:tcPr>
            <w:tcW w:w="6819" w:type="dxa"/>
            <w:vAlign w:val="center"/>
          </w:tcPr>
          <w:p>
            <w:pPr>
              <w:pStyle w:val="58"/>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0"/>
              <w:snapToGrid w:val="0"/>
              <w:spacing w:line="360" w:lineRule="auto"/>
              <w:ind w:firstLine="240" w:firstLineChars="100"/>
              <w:rPr>
                <w:lang w:val="zh-CN"/>
              </w:rPr>
            </w:pPr>
            <w:r>
              <w:rPr>
                <w:rFonts w:hint="eastAsia"/>
                <w:lang w:val="zh-CN"/>
              </w:rPr>
              <w:t>地址：</w:t>
            </w:r>
            <w:r>
              <w:rPr>
                <w:rFonts w:hint="eastAsia"/>
              </w:rPr>
              <w:t>四川成都郫都区安德街道彭温路399号</w:t>
            </w:r>
          </w:p>
          <w:p>
            <w:pPr>
              <w:pStyle w:val="60"/>
              <w:snapToGrid w:val="0"/>
              <w:spacing w:line="360" w:lineRule="auto"/>
              <w:ind w:firstLine="240" w:firstLineChars="100"/>
              <w:rPr>
                <w:lang w:val="zh-CN"/>
              </w:rPr>
            </w:pPr>
            <w:r>
              <w:rPr>
                <w:rFonts w:hint="eastAsia"/>
                <w:lang w:val="zh-CN"/>
              </w:rPr>
              <w:t>联 系 人：贺老师、李老师</w:t>
            </w:r>
          </w:p>
          <w:p>
            <w:pPr>
              <w:pStyle w:val="60"/>
              <w:snapToGrid w:val="0"/>
              <w:spacing w:line="360" w:lineRule="auto"/>
              <w:ind w:firstLine="240" w:firstLineChars="100"/>
            </w:pPr>
            <w:r>
              <w:rPr>
                <w:rFonts w:hint="eastAsia"/>
                <w:lang w:val="zh-CN"/>
              </w:rPr>
              <w:t>联系电话：</w:t>
            </w:r>
            <w:r>
              <w:rPr>
                <w:rFonts w:hint="eastAsia"/>
              </w:rPr>
              <w:t>68939875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0" w:hRule="atLeast"/>
          <w:jc w:val="center"/>
        </w:trPr>
        <w:tc>
          <w:tcPr>
            <w:tcW w:w="771" w:type="dxa"/>
            <w:vAlign w:val="center"/>
          </w:tcPr>
          <w:p>
            <w:pPr>
              <w:pStyle w:val="60"/>
              <w:snapToGrid w:val="0"/>
              <w:spacing w:line="360" w:lineRule="auto"/>
              <w:jc w:val="center"/>
            </w:pPr>
            <w:r>
              <w:rPr>
                <w:rFonts w:hint="eastAsia"/>
              </w:rPr>
              <w:t>2</w:t>
            </w:r>
          </w:p>
        </w:tc>
        <w:tc>
          <w:tcPr>
            <w:tcW w:w="1916" w:type="dxa"/>
            <w:vAlign w:val="center"/>
          </w:tcPr>
          <w:p>
            <w:pPr>
              <w:pStyle w:val="60"/>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9"/>
              <w:snapToGrid w:val="0"/>
              <w:ind w:firstLine="0"/>
              <w:jc w:val="left"/>
              <w:rPr>
                <w:lang w:val="zh-CN"/>
              </w:rPr>
            </w:pPr>
            <w:r>
              <w:rPr>
                <w:rFonts w:hint="eastAsia" w:hAnsi="宋体" w:cs="宋体"/>
                <w:bCs/>
                <w:sz w:val="24"/>
                <w:szCs w:val="24"/>
              </w:rPr>
              <w:t>公共教学部课程思政建设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0"/>
              <w:snapToGrid w:val="0"/>
              <w:spacing w:line="360" w:lineRule="auto"/>
              <w:jc w:val="center"/>
            </w:pPr>
            <w:r>
              <w:rPr>
                <w:rFonts w:hint="eastAsia"/>
              </w:rPr>
              <w:t>3</w:t>
            </w:r>
          </w:p>
        </w:tc>
        <w:tc>
          <w:tcPr>
            <w:tcW w:w="1916" w:type="dxa"/>
            <w:vAlign w:val="center"/>
          </w:tcPr>
          <w:p>
            <w:pPr>
              <w:pStyle w:val="60"/>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60"/>
              <w:snapToGrid w:val="0"/>
              <w:spacing w:line="360" w:lineRule="auto"/>
            </w:pPr>
            <w:r>
              <w:rPr>
                <w:rFonts w:hint="eastAsia"/>
                <w:color w:val="000000" w:themeColor="text1"/>
                <w14:textFill>
                  <w14:solidFill>
                    <w14:schemeClr w14:val="tx1"/>
                  </w14:solidFill>
                </w14:textFill>
              </w:rPr>
              <w:t>TZY-ZB-2022023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4</w:t>
            </w:r>
          </w:p>
        </w:tc>
        <w:tc>
          <w:tcPr>
            <w:tcW w:w="1916" w:type="dxa"/>
            <w:vAlign w:val="center"/>
          </w:tcPr>
          <w:p>
            <w:pPr>
              <w:pStyle w:val="60"/>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0"/>
              <w:snapToGrid w:val="0"/>
              <w:spacing w:line="360" w:lineRule="auto"/>
              <w:ind w:firstLine="240" w:firstLineChars="100"/>
            </w:pPr>
            <w:r>
              <w:rPr>
                <w:rFonts w:hint="eastAsia"/>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5</w:t>
            </w:r>
          </w:p>
        </w:tc>
        <w:tc>
          <w:tcPr>
            <w:tcW w:w="1916" w:type="dxa"/>
            <w:vAlign w:val="center"/>
          </w:tcPr>
          <w:p>
            <w:pPr>
              <w:pStyle w:val="60"/>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0"/>
              <w:snapToGrid w:val="0"/>
              <w:spacing w:line="360" w:lineRule="auto"/>
              <w:ind w:firstLine="240" w:firstLineChars="100"/>
            </w:pPr>
            <w:r>
              <w:t>6.4</w:t>
            </w:r>
            <w:r>
              <w:rPr>
                <w:rFonts w:hint="eastAsi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0"/>
              <w:snapToGrid w:val="0"/>
              <w:spacing w:line="360" w:lineRule="auto"/>
              <w:jc w:val="center"/>
            </w:pPr>
            <w:r>
              <w:rPr>
                <w:rFonts w:hint="eastAsia"/>
              </w:rPr>
              <w:t>6</w:t>
            </w:r>
          </w:p>
        </w:tc>
        <w:tc>
          <w:tcPr>
            <w:tcW w:w="1916" w:type="dxa"/>
            <w:vAlign w:val="center"/>
          </w:tcPr>
          <w:p>
            <w:pPr>
              <w:pStyle w:val="60"/>
              <w:snapToGrid w:val="0"/>
              <w:spacing w:line="360" w:lineRule="auto"/>
              <w:jc w:val="center"/>
              <w:rPr>
                <w:lang w:val="zh-CN"/>
              </w:rPr>
            </w:pPr>
            <w:r>
              <w:rPr>
                <w:rFonts w:hint="eastAsia"/>
                <w:lang w:val="zh-CN"/>
              </w:rPr>
              <w:t>构成招标文件的其他文件</w:t>
            </w:r>
          </w:p>
        </w:tc>
        <w:tc>
          <w:tcPr>
            <w:tcW w:w="6819" w:type="dxa"/>
            <w:vAlign w:val="center"/>
          </w:tcPr>
          <w:p>
            <w:pPr>
              <w:pStyle w:val="60"/>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7</w:t>
            </w:r>
          </w:p>
        </w:tc>
        <w:tc>
          <w:tcPr>
            <w:tcW w:w="1916" w:type="dxa"/>
            <w:vAlign w:val="center"/>
          </w:tcPr>
          <w:p>
            <w:pPr>
              <w:pStyle w:val="60"/>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0"/>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8</w:t>
            </w:r>
          </w:p>
        </w:tc>
        <w:tc>
          <w:tcPr>
            <w:tcW w:w="1916" w:type="dxa"/>
            <w:vAlign w:val="center"/>
          </w:tcPr>
          <w:p>
            <w:pPr>
              <w:pStyle w:val="60"/>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0"/>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rPr>
                <w:lang w:val="zh-CN"/>
              </w:rPr>
            </w:pPr>
            <w:r>
              <w:rPr>
                <w:rFonts w:hint="eastAsia"/>
                <w:lang w:val="zh-CN"/>
              </w:rPr>
              <w:t>a.时间和地点详见 “投标邀请”;</w:t>
            </w:r>
          </w:p>
          <w:p>
            <w:pPr>
              <w:pStyle w:val="60"/>
              <w:snapToGrid w:val="0"/>
              <w:spacing w:line="360" w:lineRule="auto"/>
              <w:rPr>
                <w:lang w:val="zh-CN"/>
              </w:rPr>
            </w:pPr>
            <w:r>
              <w:rPr>
                <w:rFonts w:hint="eastAsia"/>
                <w:lang w:val="zh-CN"/>
              </w:rPr>
              <w:t>b.采购人在招标文件规定的时间和地点组织开标，投标人代表人执有效身份证参加。</w:t>
            </w:r>
          </w:p>
          <w:p>
            <w:pPr>
              <w:pStyle w:val="60"/>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rPr>
                <w:highlight w:val="yellow"/>
                <w:lang w:val="zh-CN"/>
              </w:rPr>
            </w:pPr>
            <w:r>
              <w:rPr>
                <w:rFonts w:hint="eastAsia"/>
                <w:lang w:val="zh-CN"/>
              </w:rPr>
              <w:t>时间：</w:t>
            </w:r>
            <w:r>
              <w:rPr>
                <w:rFonts w:hint="eastAsia"/>
              </w:rPr>
              <w:t xml:space="preserve">2022 </w:t>
            </w:r>
            <w:r>
              <w:rPr>
                <w:rFonts w:hint="eastAsia"/>
                <w:lang w:val="zh-CN"/>
              </w:rPr>
              <w:t>年</w:t>
            </w:r>
            <w:r>
              <w:rPr>
                <w:rFonts w:hint="eastAsia"/>
              </w:rPr>
              <w:t xml:space="preserve">8 月 </w:t>
            </w:r>
            <w:r>
              <w:rPr>
                <w:rFonts w:hint="eastAsia"/>
                <w:lang w:val="en-US" w:eastAsia="zh-CN"/>
              </w:rPr>
              <w:t xml:space="preserve">24 </w:t>
            </w:r>
            <w:bookmarkStart w:id="98" w:name="_GoBack"/>
            <w:bookmarkEnd w:id="98"/>
            <w:r>
              <w:rPr>
                <w:rFonts w:hint="eastAsia"/>
                <w:lang w:val="zh-CN"/>
              </w:rPr>
              <w:t>日</w:t>
            </w:r>
            <w:r>
              <w:rPr>
                <w:rFonts w:hint="eastAsia"/>
              </w:rPr>
              <w:t>10:00</w:t>
            </w:r>
            <w:r>
              <w:rPr>
                <w:rFonts w:hint="eastAsia"/>
                <w:lang w:val="zh-CN"/>
              </w:rPr>
              <w:t>（北京时间）</w:t>
            </w:r>
          </w:p>
          <w:p>
            <w:pPr>
              <w:pStyle w:val="60"/>
              <w:snapToGrid w:val="0"/>
              <w:spacing w:line="360" w:lineRule="auto"/>
              <w:ind w:firstLine="240" w:firstLineChars="100"/>
            </w:pPr>
            <w:r>
              <w:rPr>
                <w:rFonts w:hint="eastAsia"/>
                <w:lang w:val="zh-CN"/>
              </w:rPr>
              <w:t>地点：</w:t>
            </w:r>
            <w:r>
              <w:rPr>
                <w:rFonts w:hint="eastAsia"/>
              </w:rPr>
              <w:t>四川成都郫都区安德街道彭温路399号后勤基建办公区2F评标室</w:t>
            </w:r>
          </w:p>
        </w:tc>
      </w:tr>
    </w:tbl>
    <w:p>
      <w:pPr>
        <w:snapToGrid w:val="0"/>
        <w:spacing w:line="360" w:lineRule="auto"/>
        <w:rPr>
          <w:rFonts w:hAnsi="宋体" w:cs="宋体"/>
          <w:bCs/>
          <w:sz w:val="30"/>
          <w:szCs w:val="30"/>
        </w:rPr>
      </w:pPr>
    </w:p>
    <w:p>
      <w:pPr>
        <w:pStyle w:val="5"/>
        <w:snapToGrid w:val="0"/>
        <w:spacing w:before="0" w:after="0" w:line="360" w:lineRule="auto"/>
        <w:jc w:val="center"/>
        <w:rPr>
          <w:rFonts w:ascii="宋体" w:hAnsi="宋体" w:eastAsia="宋体" w:cs="宋体"/>
          <w:sz w:val="30"/>
          <w:szCs w:val="30"/>
        </w:rPr>
      </w:pPr>
      <w:bookmarkStart w:id="17" w:name="_Toc77400779"/>
      <w:bookmarkStart w:id="18" w:name="_Toc183682346"/>
      <w:bookmarkStart w:id="19" w:name="_Toc183582209"/>
      <w:bookmarkStart w:id="20" w:name="_Toc89075875"/>
      <w:bookmarkStart w:id="21" w:name="_Toc217446038"/>
      <w:r>
        <w:rPr>
          <w:rFonts w:hint="eastAsia" w:ascii="宋体" w:hAnsi="宋体" w:eastAsia="宋体" w:cs="宋体"/>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sz w:val="24"/>
          <w:szCs w:val="24"/>
        </w:rPr>
      </w:pPr>
      <w:bookmarkStart w:id="22" w:name="_Toc183582210"/>
      <w:bookmarkStart w:id="23" w:name="_Toc217446039"/>
      <w:bookmarkStart w:id="24" w:name="_Toc183682347"/>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25" w:name="_Toc183582211"/>
      <w:bookmarkStart w:id="26" w:name="_Toc183682348"/>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89075876"/>
      <w:bookmarkStart w:id="29" w:name="_Toc217446042"/>
      <w:bookmarkStart w:id="30" w:name="_Toc77400780"/>
      <w:bookmarkStart w:id="31" w:name="_Toc183582214"/>
      <w:bookmarkStart w:id="32" w:name="_Toc183682351"/>
      <w:r>
        <w:rPr>
          <w:rFonts w:hint="eastAsia" w:ascii="宋体" w:hAnsi="宋体" w:eastAsia="宋体" w:cs="宋体"/>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sz w:val="24"/>
          <w:szCs w:val="24"/>
        </w:rPr>
      </w:pPr>
      <w:bookmarkStart w:id="33" w:name="_Toc217446043"/>
      <w:bookmarkStart w:id="34" w:name="_Toc183682352"/>
      <w:bookmarkStart w:id="35" w:name="_Toc183582215"/>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38" w:name="_Toc183682354"/>
      <w:bookmarkStart w:id="39" w:name="_Toc217446048"/>
      <w:bookmarkStart w:id="40" w:name="_Toc183582217"/>
      <w:bookmarkStart w:id="41" w:name="_Toc358883246"/>
      <w:bookmarkStart w:id="42" w:name="_Toc217446093"/>
      <w:r>
        <w:rPr>
          <w:rFonts w:hint="eastAsia" w:hAnsi="宋体" w:cs="宋体"/>
          <w:sz w:val="24"/>
          <w:szCs w:val="24"/>
        </w:rPr>
        <w:t>6．投标文件的组成</w:t>
      </w:r>
      <w:bookmarkEnd w:id="38"/>
      <w:bookmarkEnd w:id="39"/>
      <w:bookmarkEnd w:id="40"/>
      <w:bookmarkStart w:id="43" w:name="_Toc183682355"/>
      <w:bookmarkStart w:id="44" w:name="_Toc183582218"/>
      <w:bookmarkStart w:id="45" w:name="_Toc217446049"/>
      <w:r>
        <w:rPr>
          <w:rFonts w:hint="eastAsia" w:hAnsi="宋体" w:cs="宋体"/>
          <w:sz w:val="24"/>
          <w:szCs w:val="24"/>
        </w:rPr>
        <w:t>。</w:t>
      </w:r>
    </w:p>
    <w:p>
      <w:pPr>
        <w:pStyle w:val="6"/>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9"/>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9"/>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6"/>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46" w:name="_Toc183582224"/>
      <w:bookmarkStart w:id="47" w:name="_Toc217446051"/>
      <w:bookmarkStart w:id="48" w:name="_Toc183682361"/>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49" w:name="_Toc89075877"/>
      <w:bookmarkStart w:id="50" w:name="_Toc183682363"/>
      <w:bookmarkStart w:id="51" w:name="_Toc77400781"/>
      <w:bookmarkStart w:id="52" w:name="_Toc183582226"/>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54" w:name="_Toc183582227"/>
      <w:bookmarkStart w:id="55" w:name="_Toc183682364"/>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57" w:name="_Toc183682365"/>
      <w:bookmarkStart w:id="58" w:name="_Toc183582228"/>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77400782"/>
      <w:bookmarkStart w:id="61" w:name="_Toc183682368"/>
      <w:bookmarkStart w:id="62" w:name="_Toc183582231"/>
      <w:bookmarkStart w:id="63" w:name="_Toc217446056"/>
      <w:bookmarkStart w:id="64" w:name="_Toc89075878"/>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217446057"/>
      <w:bookmarkStart w:id="66" w:name="_Toc183582232"/>
      <w:bookmarkStart w:id="67" w:name="_Toc183682369"/>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68" w:name="_Toc183682375"/>
      <w:bookmarkStart w:id="69" w:name="_Toc183582238"/>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582240"/>
      <w:bookmarkStart w:id="73"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682380"/>
      <w:bookmarkStart w:id="80" w:name="_Toc183582243"/>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1"/>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在招标投标过程中，如有任何质疑，可向四川铁道职业学院纪检监察室询问，联系电话：028-68939969。</w:t>
      </w:r>
      <w:bookmarkStart w:id="84" w:name="_Toc358883243"/>
    </w:p>
    <w:p>
      <w:pPr>
        <w:pStyle w:val="11"/>
        <w:snapToGrid w:val="0"/>
        <w:spacing w:line="360" w:lineRule="auto"/>
        <w:ind w:firstLine="480" w:firstLineChars="200"/>
        <w:rPr>
          <w:rFonts w:hAnsi="宋体" w:cs="宋体"/>
          <w:sz w:val="24"/>
        </w:rPr>
      </w:pPr>
    </w:p>
    <w:p>
      <w:pPr>
        <w:pStyle w:val="11"/>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rPr>
          <w:rFonts w:ascii="Times New Roman"/>
        </w:rPr>
      </w:pPr>
    </w:p>
    <w:p>
      <w:pPr>
        <w:pStyle w:val="4"/>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1"/>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1"/>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1"/>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97204985"/>
      <w:bookmarkStart w:id="88" w:name="_Toc263753600"/>
      <w:bookmarkStart w:id="89" w:name="_Toc237145385"/>
      <w:bookmarkStart w:id="90" w:name="_Toc250041691"/>
      <w:bookmarkStart w:id="91" w:name="_Toc263768864"/>
      <w:bookmarkStart w:id="92" w:name="_Toc256175382"/>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6" w:type="default"/>
          <w:pgSz w:w="11907" w:h="16840"/>
          <w:pgMar w:top="1440" w:right="1080" w:bottom="1440" w:left="1080" w:header="851" w:footer="992" w:gutter="0"/>
          <w:cols w:space="720" w:num="1"/>
          <w:docGrid w:type="lines" w:linePitch="312" w:charSpace="0"/>
        </w:sectPr>
      </w:pPr>
    </w:p>
    <w:bookmarkEnd w:id="93"/>
    <w:p>
      <w:pPr>
        <w:widowControl/>
        <w:jc w:val="center"/>
        <w:rPr>
          <w:rFonts w:hAnsi="宋体" w:cs="宋体"/>
        </w:rPr>
      </w:pPr>
      <w:bookmarkStart w:id="94" w:name="_Toc123786888"/>
      <w:bookmarkStart w:id="95" w:name="_Toc315963014"/>
      <w:r>
        <w:rPr>
          <w:rFonts w:hint="eastAsia" w:hAnsi="宋体" w:cs="宋体"/>
        </w:rPr>
        <w:t>三、投标报价表</w:t>
      </w:r>
    </w:p>
    <w:p>
      <w:pPr>
        <w:adjustRightInd w:val="0"/>
        <w:snapToGrid w:val="0"/>
        <w:spacing w:line="360" w:lineRule="auto"/>
        <w:rPr>
          <w:rFonts w:ascii="仿宋_GB2312" w:hAnsi="宋体" w:eastAsia="仿宋_GB2312"/>
          <w:sz w:val="28"/>
          <w:szCs w:val="28"/>
        </w:rPr>
      </w:pP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tcPr>
          <w:p>
            <w:pPr>
              <w:adjustRightInd w:val="0"/>
              <w:snapToGrid w:val="0"/>
              <w:spacing w:line="360" w:lineRule="auto"/>
              <w:rPr>
                <w:rFonts w:ascii="仿宋_GB2312" w:hAnsi="宋体" w:eastAsia="仿宋_GB2312"/>
                <w:u w:val="single"/>
              </w:rPr>
            </w:pPr>
            <w:r>
              <w:rPr>
                <w:rFonts w:hint="eastAsia" w:ascii="仿宋_GB2312" w:hAnsi="宋体" w:eastAsia="仿宋_GB2312"/>
              </w:rPr>
              <w:t>如按比例报价，将“投标总价”改为适用格式即可</w:t>
            </w: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bookmarkEnd w:id="94"/>
    <w:p>
      <w:pPr>
        <w:adjustRightInd w:val="0"/>
        <w:snapToGrid w:val="0"/>
        <w:spacing w:line="360" w:lineRule="auto"/>
        <w:rPr>
          <w:rFonts w:ascii="仿宋_GB2312" w:hAnsi="宋体" w:eastAsia="仿宋_GB2312"/>
          <w:sz w:val="24"/>
          <w:u w:val="single"/>
        </w:rPr>
      </w:pPr>
    </w:p>
    <w:p>
      <w:pPr>
        <w:pStyle w:val="5"/>
        <w:snapToGrid w:val="0"/>
        <w:spacing w:before="0" w:after="0" w:line="360" w:lineRule="auto"/>
        <w:ind w:firstLine="2891" w:firstLineChars="900"/>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7" w:type="default"/>
          <w:type w:val="nextColumn"/>
          <w:pgSz w:w="11907" w:h="16840"/>
          <w:pgMar w:top="1440" w:right="1474" w:bottom="1440" w:left="1474" w:header="851" w:footer="992" w:gutter="0"/>
          <w:cols w:space="720" w:num="1"/>
          <w:docGrid w:type="lines" w:linePitch="312" w:charSpace="0"/>
        </w:sectPr>
      </w:pPr>
    </w:p>
    <w:p>
      <w:pPr>
        <w:pStyle w:val="5"/>
        <w:snapToGrid w:val="0"/>
        <w:spacing w:before="0" w:after="0" w:line="360" w:lineRule="auto"/>
        <w:jc w:val="center"/>
        <w:rPr>
          <w:rFonts w:ascii="宋体" w:hAnsi="宋体" w:eastAsia="宋体" w:cs="宋体"/>
        </w:rPr>
      </w:pPr>
      <w:bookmarkStart w:id="96" w:name="_Toc217446087"/>
    </w:p>
    <w:p>
      <w:pPr>
        <w:pStyle w:val="5"/>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4"/>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0"/>
        <w:tblpPr w:leftFromText="180" w:rightFromText="180" w:vertAnchor="text" w:horzAnchor="page" w:tblpX="967"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pStyle w:val="2"/>
        <w:ind w:left="680" w:firstLine="680"/>
      </w:pPr>
      <w:r>
        <w:br w:type="page"/>
      </w:r>
    </w:p>
    <w:p>
      <w:pPr>
        <w:spacing w:line="440" w:lineRule="exact"/>
        <w:ind w:firstLine="3315" w:firstLineChars="975"/>
        <w:rPr>
          <w:rFonts w:hAnsi="宋体" w:cs="宋体"/>
        </w:rPr>
      </w:pPr>
    </w:p>
    <w:p>
      <w:pPr>
        <w:spacing w:line="440" w:lineRule="exact"/>
        <w:ind w:firstLine="3315" w:firstLineChars="975"/>
        <w:rPr>
          <w:rFonts w:hAnsi="宋体" w:cs="宋体"/>
        </w:rPr>
      </w:pPr>
      <w:r>
        <w:rPr>
          <w:rFonts w:hint="eastAsia" w:hAnsi="宋体" w:cs="宋体"/>
        </w:rPr>
        <w:t>七、承诺函</w:t>
      </w:r>
    </w:p>
    <w:p>
      <w:pPr>
        <w:rPr>
          <w:rFonts w:hAnsi="宋体"/>
          <w:sz w:val="24"/>
        </w:rPr>
      </w:pPr>
      <w:r>
        <w:rPr>
          <w:rFonts w:hint="eastAsia" w:hAnsi="宋体"/>
          <w:sz w:val="24"/>
        </w:rPr>
        <w:t>四川铁道职业学院：</w:t>
      </w:r>
    </w:p>
    <w:p>
      <w:pPr>
        <w:ind w:firstLine="480" w:firstLineChars="200"/>
        <w:rPr>
          <w:rFonts w:hAnsi="宋体"/>
          <w:sz w:val="24"/>
        </w:rPr>
      </w:pPr>
      <w:r>
        <w:rPr>
          <w:rFonts w:hint="eastAsia" w:hAnsi="宋体"/>
          <w:sz w:val="24"/>
        </w:rPr>
        <w:t>我公司作为本次采购项目的供应商，根据招标文件要求，现郑重承诺如下：</w:t>
      </w:r>
    </w:p>
    <w:p>
      <w:pPr>
        <w:pStyle w:val="3"/>
        <w:rPr>
          <w:rFonts w:ascii="宋体" w:hAnsi="宋体"/>
          <w:sz w:val="24"/>
          <w:szCs w:val="22"/>
        </w:rPr>
      </w:pPr>
      <w:r>
        <w:rPr>
          <w:rFonts w:hint="eastAsia" w:ascii="宋体" w:hAnsi="宋体"/>
          <w:sz w:val="24"/>
          <w:szCs w:val="22"/>
        </w:rPr>
        <w:t>（一）我公司</w:t>
      </w:r>
      <w:r>
        <w:rPr>
          <w:rFonts w:hint="eastAsia" w:hAnsi="宋体" w:cs="宋体"/>
          <w:sz w:val="24"/>
        </w:rPr>
        <w:t>严格遵守《食品安全法》和学校的有关规定，确保经销食品质量；</w:t>
      </w:r>
    </w:p>
    <w:p>
      <w:pPr>
        <w:spacing w:line="440" w:lineRule="exact"/>
        <w:rPr>
          <w:rFonts w:hAnsi="宋体" w:cs="宋体"/>
          <w:sz w:val="24"/>
        </w:rPr>
      </w:pPr>
      <w:r>
        <w:rPr>
          <w:rFonts w:hint="eastAsia" w:hAnsi="宋体" w:cs="宋体"/>
          <w:sz w:val="24"/>
        </w:rPr>
        <w:t>（二）我公司积极配合接受上级卫生监督部门、学校后勤管理部门对食品卫生、合作范围等方面的检查、监督；</w:t>
      </w:r>
    </w:p>
    <w:p>
      <w:pPr>
        <w:spacing w:line="440" w:lineRule="exact"/>
        <w:rPr>
          <w:rFonts w:hAnsi="宋体" w:cs="宋体"/>
          <w:sz w:val="24"/>
        </w:rPr>
      </w:pPr>
      <w:r>
        <w:rPr>
          <w:rFonts w:hint="eastAsia" w:hAnsi="宋体" w:cs="宋体"/>
          <w:sz w:val="24"/>
        </w:rPr>
        <w:t>（三）合作期间的税金、工商管理、卫生、防疫、宣传等费用由我公司承担，并同时承担与之有关的一切法律责任；</w:t>
      </w:r>
    </w:p>
    <w:p>
      <w:pPr>
        <w:spacing w:line="440" w:lineRule="exact"/>
        <w:rPr>
          <w:rFonts w:hAnsi="宋体" w:cs="宋体"/>
          <w:sz w:val="24"/>
        </w:rPr>
      </w:pPr>
      <w:r>
        <w:rPr>
          <w:rFonts w:hint="eastAsia" w:hAnsi="宋体" w:cs="宋体"/>
          <w:sz w:val="24"/>
        </w:rPr>
        <w:t>（四）我公司不得擅自改变合作场所的房屋结构，不得私接水电。擅自改变的，中标供应商负责恢复原状，并承担由此造成的一切损失；</w:t>
      </w:r>
    </w:p>
    <w:p>
      <w:pPr>
        <w:spacing w:line="440" w:lineRule="exact"/>
        <w:rPr>
          <w:rFonts w:hAnsi="宋体" w:cs="宋体"/>
          <w:sz w:val="24"/>
        </w:rPr>
      </w:pPr>
      <w:r>
        <w:rPr>
          <w:rFonts w:hint="eastAsia" w:hAnsi="宋体" w:cs="宋体"/>
          <w:sz w:val="24"/>
        </w:rPr>
        <w:t>（五）我公司作好安全、卫生（门前实行三包）、防火、防盗、防水及维持秩序等工作。由此引发事故造成损失的由合作单位负完全赔偿责任；</w:t>
      </w:r>
    </w:p>
    <w:p>
      <w:pPr>
        <w:spacing w:line="440" w:lineRule="exact"/>
        <w:rPr>
          <w:rFonts w:hAnsi="宋体" w:cs="宋体"/>
          <w:sz w:val="24"/>
        </w:rPr>
      </w:pPr>
      <w:r>
        <w:rPr>
          <w:rFonts w:hint="eastAsia" w:hAnsi="宋体" w:cs="宋体"/>
          <w:sz w:val="24"/>
        </w:rPr>
        <w:t>（六）我公司不得对该项目进行转让、转包、转租、分包、分租，否则采购人有权单方解除合同，不承担任何责任；</w:t>
      </w:r>
    </w:p>
    <w:p>
      <w:pPr>
        <w:spacing w:line="440" w:lineRule="exact"/>
        <w:rPr>
          <w:rFonts w:hAnsi="宋体" w:cs="宋体"/>
          <w:sz w:val="24"/>
        </w:rPr>
      </w:pPr>
      <w:r>
        <w:rPr>
          <w:rFonts w:hint="eastAsia" w:hAnsi="宋体" w:cs="宋体"/>
          <w:sz w:val="24"/>
        </w:rPr>
        <w:t>（七）我公司工作人员需符合国家有关超市从业人员上岗的相关规定，所发生的任何问题均由合作企业负责处理；</w:t>
      </w:r>
    </w:p>
    <w:p>
      <w:pPr>
        <w:spacing w:line="440" w:lineRule="exact"/>
        <w:rPr>
          <w:rFonts w:hAnsi="宋体" w:cs="宋体"/>
          <w:sz w:val="24"/>
        </w:rPr>
      </w:pPr>
      <w:r>
        <w:rPr>
          <w:rFonts w:hint="eastAsia" w:hAnsi="宋体" w:cs="宋体"/>
          <w:sz w:val="24"/>
        </w:rPr>
        <w:t>（八）我公司保证所售产品的质量是符合国家或行业相关标准的，承担其因产品质量的引发的全部法律责任和经济责任。</w:t>
      </w:r>
    </w:p>
    <w:p>
      <w:pPr>
        <w:ind w:firstLine="480" w:firstLineChars="200"/>
        <w:rPr>
          <w:rFonts w:hAnsi="宋体"/>
          <w:sz w:val="24"/>
        </w:rPr>
      </w:pPr>
    </w:p>
    <w:p>
      <w:pPr>
        <w:ind w:firstLine="480" w:firstLineChars="200"/>
        <w:rPr>
          <w:rFonts w:hAnsi="宋体"/>
          <w:sz w:val="24"/>
        </w:rPr>
      </w:pPr>
      <w:r>
        <w:rPr>
          <w:rFonts w:hint="eastAsia" w:hAnsi="宋体"/>
          <w:sz w:val="24"/>
        </w:rPr>
        <w:t>本公司对上述承诺的内容事项真实性负责。如经查实上述承诺的内容事项存在虚假，我公司愿意接受以提供虚假材料谋取成交的法律责任。</w:t>
      </w:r>
    </w:p>
    <w:p>
      <w:pPr>
        <w:rPr>
          <w:rFonts w:hAnsi="宋体"/>
          <w:sz w:val="24"/>
        </w:rPr>
      </w:pPr>
    </w:p>
    <w:p>
      <w:pPr>
        <w:rPr>
          <w:rFonts w:hAnsi="宋体"/>
          <w:sz w:val="24"/>
        </w:rPr>
      </w:pPr>
    </w:p>
    <w:p>
      <w:pPr>
        <w:adjustRightInd w:val="0"/>
        <w:spacing w:line="400" w:lineRule="exact"/>
        <w:jc w:val="left"/>
        <w:rPr>
          <w:rFonts w:hAnsi="宋体"/>
          <w:sz w:val="24"/>
        </w:rPr>
      </w:pPr>
      <w:r>
        <w:rPr>
          <w:rFonts w:hint="eastAsia" w:hAnsi="宋体"/>
          <w:sz w:val="24"/>
        </w:rPr>
        <w:t>供应商名称：XXX（盖单位公章）</w:t>
      </w:r>
    </w:p>
    <w:p>
      <w:pPr>
        <w:adjustRightInd w:val="0"/>
        <w:spacing w:line="400" w:lineRule="exact"/>
        <w:jc w:val="left"/>
        <w:rPr>
          <w:rFonts w:hAnsi="宋体"/>
          <w:bCs/>
          <w:sz w:val="24"/>
        </w:rPr>
      </w:pPr>
      <w:r>
        <w:rPr>
          <w:rFonts w:hint="eastAsia" w:hAnsi="宋体"/>
          <w:bCs/>
          <w:sz w:val="24"/>
        </w:rPr>
        <w:t>法定代表人或授权代表（签字或盖章）：XXX</w:t>
      </w:r>
    </w:p>
    <w:p>
      <w:pPr>
        <w:adjustRightInd w:val="0"/>
        <w:spacing w:line="400" w:lineRule="exact"/>
        <w:jc w:val="left"/>
        <w:rPr>
          <w:rFonts w:hAnsi="宋体"/>
          <w:bCs/>
          <w:sz w:val="24"/>
        </w:rPr>
      </w:pPr>
      <w:r>
        <w:rPr>
          <w:rFonts w:hint="eastAsia" w:hAnsi="宋体"/>
          <w:bCs/>
          <w:sz w:val="24"/>
        </w:rPr>
        <w:t>日  期：XXX年XXX月XXX日</w:t>
      </w:r>
    </w:p>
    <w:p>
      <w:pPr>
        <w:pStyle w:val="2"/>
        <w:ind w:left="680" w:firstLine="680"/>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pStyle w:val="2"/>
        <w:ind w:left="680" w:firstLine="680"/>
        <w:sectPr>
          <w:pgSz w:w="11906" w:h="16838"/>
          <w:pgMar w:top="1083" w:right="1440" w:bottom="1083" w:left="1440" w:header="851" w:footer="992" w:gutter="0"/>
          <w:cols w:space="720" w:num="1"/>
          <w:docGrid w:type="lines" w:linePitch="473" w:charSpace="0"/>
        </w:sectPr>
      </w:pPr>
    </w:p>
    <w:bookmarkEnd w:id="41"/>
    <w:bookmarkEnd w:id="42"/>
    <w:p>
      <w:pPr>
        <w:pStyle w:val="4"/>
        <w:snapToGrid w:val="0"/>
        <w:spacing w:before="0" w:after="283" w:afterLines="60" w:line="360" w:lineRule="auto"/>
        <w:jc w:val="center"/>
        <w:rPr>
          <w:rFonts w:hAnsi="宋体"/>
          <w:sz w:val="32"/>
          <w:szCs w:val="32"/>
        </w:rPr>
      </w:pPr>
    </w:p>
    <w:p>
      <w:pPr>
        <w:pStyle w:val="4"/>
        <w:snapToGrid w:val="0"/>
        <w:spacing w:before="0" w:after="283" w:afterLines="60" w:line="360" w:lineRule="auto"/>
        <w:jc w:val="center"/>
        <w:rPr>
          <w:rFonts w:hAnsi="宋体"/>
          <w:sz w:val="32"/>
          <w:szCs w:val="32"/>
        </w:rPr>
      </w:pPr>
      <w:r>
        <w:rPr>
          <w:rFonts w:hint="eastAsia" w:hAnsi="宋体"/>
          <w:sz w:val="32"/>
          <w:szCs w:val="32"/>
        </w:rPr>
        <w:t>第四章  招标项目技术、商务及其他要求</w:t>
      </w:r>
    </w:p>
    <w:p>
      <w:pPr>
        <w:adjustRightInd w:val="0"/>
        <w:snapToGrid w:val="0"/>
        <w:spacing w:line="440" w:lineRule="exact"/>
        <w:ind w:firstLine="562" w:firstLineChars="200"/>
        <w:rPr>
          <w:rFonts w:hAnsi="宋体" w:cs="宋体"/>
          <w:sz w:val="28"/>
          <w:szCs w:val="28"/>
        </w:rPr>
      </w:pPr>
      <w:bookmarkStart w:id="97" w:name="_Toc515612310"/>
      <w:r>
        <w:rPr>
          <w:rFonts w:hint="eastAsia" w:hAnsi="宋体" w:cs="宋体"/>
          <w:b/>
          <w:bCs/>
          <w:sz w:val="28"/>
          <w:szCs w:val="28"/>
        </w:rPr>
        <w:t>一、采购需求</w:t>
      </w:r>
    </w:p>
    <w:p>
      <w:pPr>
        <w:snapToGrid w:val="0"/>
        <w:spacing w:before="240" w:line="360" w:lineRule="auto"/>
        <w:ind w:firstLine="480" w:firstLineChars="200"/>
        <w:rPr>
          <w:rFonts w:hAnsi="宋体"/>
          <w:color w:val="000000"/>
          <w:sz w:val="24"/>
          <w:szCs w:val="24"/>
        </w:rPr>
      </w:pPr>
      <w:r>
        <w:rPr>
          <w:rFonts w:hint="eastAsia" w:hAnsi="宋体"/>
          <w:color w:val="000000"/>
          <w:sz w:val="24"/>
          <w:szCs w:val="24"/>
        </w:rPr>
        <w:t>公共教学部课程思政建设</w:t>
      </w:r>
      <w:r>
        <w:rPr>
          <w:rFonts w:hAnsi="宋体"/>
          <w:color w:val="000000"/>
          <w:sz w:val="24"/>
          <w:szCs w:val="24"/>
        </w:rPr>
        <w:t>项目</w:t>
      </w:r>
      <w:r>
        <w:rPr>
          <w:rFonts w:hint="eastAsia" w:hAnsi="宋体"/>
          <w:color w:val="000000"/>
          <w:sz w:val="24"/>
          <w:szCs w:val="24"/>
        </w:rPr>
        <w:t>是为了推进公共基础课程“课程思政”建设，挖掘各门课程蕴含的思政元素，提炼课程思政典型案例</w:t>
      </w:r>
      <w:r>
        <w:rPr>
          <w:rFonts w:hAnsi="宋体"/>
          <w:color w:val="000000"/>
          <w:sz w:val="24"/>
          <w:szCs w:val="24"/>
        </w:rPr>
        <w:t>，</w:t>
      </w:r>
      <w:r>
        <w:rPr>
          <w:rFonts w:hint="eastAsia" w:hAnsi="宋体"/>
          <w:color w:val="000000"/>
          <w:sz w:val="24"/>
          <w:szCs w:val="24"/>
        </w:rPr>
        <w:t>培育具有课程思政特色的示范课程，</w:t>
      </w:r>
      <w:r>
        <w:rPr>
          <w:rFonts w:hAnsi="宋体"/>
          <w:color w:val="000000"/>
          <w:sz w:val="24"/>
          <w:szCs w:val="24"/>
        </w:rPr>
        <w:t>开展</w:t>
      </w:r>
      <w:r>
        <w:rPr>
          <w:rFonts w:hint="eastAsia" w:hAnsi="宋体"/>
          <w:color w:val="000000"/>
          <w:sz w:val="24"/>
          <w:szCs w:val="24"/>
        </w:rPr>
        <w:t>的视频录制工作。</w:t>
      </w:r>
      <w:r>
        <w:rPr>
          <w:rFonts w:hAnsi="宋体"/>
          <w:color w:val="000000"/>
          <w:sz w:val="24"/>
          <w:szCs w:val="24"/>
        </w:rPr>
        <w:t>本次采购共1个包。</w:t>
      </w:r>
      <w:r>
        <w:rPr>
          <w:rFonts w:hint="eastAsia" w:hAnsi="宋体"/>
          <w:color w:val="000000"/>
          <w:sz w:val="24"/>
          <w:szCs w:val="24"/>
        </w:rPr>
        <w:t>具体预算及需求如下：</w:t>
      </w:r>
    </w:p>
    <w:tbl>
      <w:tblPr>
        <w:tblStyle w:val="20"/>
        <w:tblW w:w="9228"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820"/>
        <w:gridCol w:w="3027"/>
        <w:gridCol w:w="1353"/>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shd w:val="clear" w:color="auto" w:fill="auto"/>
            <w:vAlign w:val="center"/>
          </w:tcPr>
          <w:p>
            <w:pPr>
              <w:widowControl/>
              <w:jc w:val="center"/>
              <w:textAlignment w:val="center"/>
              <w:rPr>
                <w:rFonts w:ascii="微软雅黑" w:hAnsi="微软雅黑" w:eastAsia="微软雅黑" w:cs="微软雅黑"/>
                <w:color w:val="000000"/>
                <w:sz w:val="24"/>
                <w:szCs w:val="24"/>
                <w:lang w:bidi="ar"/>
              </w:rPr>
            </w:pPr>
            <w:r>
              <w:rPr>
                <w:rFonts w:hint="eastAsia" w:ascii="微软雅黑" w:hAnsi="微软雅黑" w:eastAsia="微软雅黑" w:cs="微软雅黑"/>
                <w:color w:val="000000"/>
                <w:sz w:val="24"/>
                <w:szCs w:val="24"/>
                <w:lang w:bidi="ar"/>
              </w:rPr>
              <w:t>序号</w:t>
            </w:r>
          </w:p>
        </w:tc>
        <w:tc>
          <w:tcPr>
            <w:tcW w:w="2820" w:type="dxa"/>
            <w:shd w:val="clear" w:color="auto" w:fill="auto"/>
            <w:vAlign w:val="center"/>
          </w:tcPr>
          <w:p>
            <w:pPr>
              <w:widowControl/>
              <w:jc w:val="center"/>
              <w:textAlignment w:val="center"/>
              <w:rPr>
                <w:rFonts w:ascii="微软雅黑" w:hAnsi="微软雅黑" w:eastAsia="微软雅黑" w:cs="微软雅黑"/>
                <w:color w:val="000000"/>
                <w:sz w:val="24"/>
                <w:szCs w:val="24"/>
                <w:lang w:bidi="ar"/>
              </w:rPr>
            </w:pPr>
            <w:r>
              <w:rPr>
                <w:rFonts w:hint="eastAsia" w:ascii="微软雅黑" w:hAnsi="微软雅黑" w:eastAsia="微软雅黑" w:cs="微软雅黑"/>
                <w:color w:val="000000"/>
                <w:sz w:val="24"/>
                <w:szCs w:val="24"/>
                <w:lang w:bidi="ar"/>
              </w:rPr>
              <w:t>项目名称</w:t>
            </w:r>
          </w:p>
        </w:tc>
        <w:tc>
          <w:tcPr>
            <w:tcW w:w="3027" w:type="dxa"/>
            <w:shd w:val="clear" w:color="auto" w:fill="auto"/>
            <w:vAlign w:val="center"/>
          </w:tcPr>
          <w:p>
            <w:pPr>
              <w:widowControl/>
              <w:jc w:val="center"/>
              <w:textAlignment w:val="center"/>
              <w:rPr>
                <w:rFonts w:ascii="微软雅黑" w:hAnsi="微软雅黑" w:eastAsia="微软雅黑" w:cs="微软雅黑"/>
                <w:color w:val="000000"/>
                <w:sz w:val="24"/>
                <w:szCs w:val="24"/>
                <w:lang w:bidi="ar"/>
              </w:rPr>
            </w:pPr>
            <w:r>
              <w:rPr>
                <w:rFonts w:hint="eastAsia" w:ascii="微软雅黑" w:hAnsi="微软雅黑" w:eastAsia="微软雅黑" w:cs="微软雅黑"/>
                <w:color w:val="000000"/>
                <w:sz w:val="24"/>
                <w:szCs w:val="24"/>
                <w:lang w:bidi="ar"/>
              </w:rPr>
              <w:t>服务内容</w:t>
            </w:r>
          </w:p>
        </w:tc>
        <w:tc>
          <w:tcPr>
            <w:tcW w:w="1353" w:type="dxa"/>
            <w:shd w:val="clear" w:color="auto" w:fill="auto"/>
            <w:vAlign w:val="center"/>
          </w:tcPr>
          <w:p>
            <w:pPr>
              <w:widowControl/>
              <w:jc w:val="center"/>
              <w:textAlignment w:val="center"/>
              <w:rPr>
                <w:rFonts w:ascii="微软雅黑" w:hAnsi="微软雅黑" w:eastAsia="微软雅黑" w:cs="微软雅黑"/>
                <w:color w:val="000000"/>
                <w:sz w:val="24"/>
                <w:szCs w:val="24"/>
                <w:lang w:bidi="ar"/>
              </w:rPr>
            </w:pPr>
            <w:r>
              <w:rPr>
                <w:rFonts w:hint="eastAsia" w:ascii="微软雅黑" w:hAnsi="微软雅黑" w:eastAsia="微软雅黑" w:cs="微软雅黑"/>
                <w:color w:val="000000"/>
                <w:sz w:val="24"/>
                <w:szCs w:val="24"/>
                <w:lang w:bidi="ar"/>
              </w:rPr>
              <w:t>时长</w:t>
            </w:r>
          </w:p>
        </w:tc>
        <w:tc>
          <w:tcPr>
            <w:tcW w:w="1464" w:type="dxa"/>
            <w:shd w:val="clear" w:color="auto" w:fill="auto"/>
            <w:vAlign w:val="center"/>
          </w:tcPr>
          <w:p>
            <w:pPr>
              <w:widowControl/>
              <w:jc w:val="center"/>
              <w:textAlignment w:val="center"/>
              <w:rPr>
                <w:rFonts w:ascii="微软雅黑" w:hAnsi="微软雅黑" w:eastAsia="微软雅黑" w:cs="微软雅黑"/>
                <w:color w:val="000000"/>
                <w:sz w:val="24"/>
                <w:szCs w:val="24"/>
                <w:lang w:bidi="ar"/>
              </w:rPr>
            </w:pPr>
            <w:r>
              <w:rPr>
                <w:rFonts w:hint="eastAsia" w:ascii="微软雅黑" w:hAnsi="微软雅黑" w:eastAsia="微软雅黑" w:cs="微软雅黑"/>
                <w:color w:val="000000"/>
                <w:sz w:val="24"/>
                <w:szCs w:val="24"/>
                <w:lang w:bidi="ar"/>
              </w:rPr>
              <w:t>预算</w:t>
            </w:r>
          </w:p>
          <w:p>
            <w:pPr>
              <w:widowControl/>
              <w:jc w:val="center"/>
              <w:textAlignment w:val="center"/>
              <w:rPr>
                <w:rFonts w:ascii="微软雅黑" w:hAnsi="微软雅黑" w:eastAsia="微软雅黑" w:cs="微软雅黑"/>
                <w:color w:val="000000"/>
                <w:sz w:val="24"/>
                <w:szCs w:val="24"/>
                <w:lang w:bidi="ar"/>
              </w:rPr>
            </w:pPr>
            <w:r>
              <w:rPr>
                <w:rFonts w:hint="eastAsia" w:ascii="微软雅黑" w:hAnsi="微软雅黑" w:eastAsia="微软雅黑" w:cs="微软雅黑"/>
                <w:color w:val="000000"/>
                <w:sz w:val="24"/>
                <w:szCs w:val="24"/>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564" w:type="dxa"/>
            <w:shd w:val="clear" w:color="auto" w:fill="auto"/>
            <w:vAlign w:val="center"/>
          </w:tcPr>
          <w:p>
            <w:pPr>
              <w:widowControl/>
              <w:adjustRightInd w:val="0"/>
              <w:snapToGrid w:val="0"/>
              <w:jc w:val="center"/>
              <w:rPr>
                <w:rFonts w:hAnsi="宋体"/>
                <w:color w:val="000000"/>
                <w:sz w:val="24"/>
                <w:szCs w:val="24"/>
              </w:rPr>
            </w:pPr>
            <w:r>
              <w:rPr>
                <w:rFonts w:hint="eastAsia" w:hAnsi="宋体"/>
                <w:color w:val="000000"/>
                <w:sz w:val="24"/>
                <w:szCs w:val="24"/>
              </w:rPr>
              <w:t>1</w:t>
            </w:r>
          </w:p>
        </w:tc>
        <w:tc>
          <w:tcPr>
            <w:tcW w:w="2820" w:type="dxa"/>
            <w:shd w:val="clear" w:color="auto" w:fill="auto"/>
            <w:vAlign w:val="center"/>
          </w:tcPr>
          <w:p>
            <w:pPr>
              <w:widowControl/>
              <w:adjustRightInd w:val="0"/>
              <w:snapToGrid w:val="0"/>
              <w:jc w:val="left"/>
              <w:rPr>
                <w:rFonts w:hAnsi="宋体"/>
                <w:color w:val="000000"/>
                <w:sz w:val="24"/>
                <w:szCs w:val="24"/>
              </w:rPr>
            </w:pPr>
            <w:r>
              <w:rPr>
                <w:rFonts w:hint="eastAsia" w:hAnsi="宋体"/>
                <w:color w:val="000000"/>
                <w:sz w:val="24"/>
                <w:szCs w:val="24"/>
              </w:rPr>
              <w:t>公共教学部“课程思政”建设项目</w:t>
            </w:r>
          </w:p>
        </w:tc>
        <w:tc>
          <w:tcPr>
            <w:tcW w:w="3027" w:type="dxa"/>
            <w:shd w:val="clear" w:color="auto" w:fill="auto"/>
            <w:vAlign w:val="center"/>
          </w:tcPr>
          <w:p>
            <w:pPr>
              <w:widowControl/>
              <w:adjustRightInd w:val="0"/>
              <w:snapToGrid w:val="0"/>
              <w:jc w:val="left"/>
              <w:rPr>
                <w:rFonts w:hAnsi="宋体"/>
                <w:color w:val="000000"/>
                <w:sz w:val="24"/>
                <w:szCs w:val="24"/>
              </w:rPr>
            </w:pPr>
            <w:r>
              <w:rPr>
                <w:rFonts w:hint="eastAsia" w:hAnsi="宋体"/>
                <w:color w:val="000000"/>
                <w:sz w:val="24"/>
                <w:szCs w:val="24"/>
              </w:rPr>
              <w:t>从合同签订后1</w:t>
            </w:r>
            <w:r>
              <w:rPr>
                <w:rFonts w:hAnsi="宋体"/>
                <w:color w:val="000000"/>
                <w:sz w:val="24"/>
                <w:szCs w:val="24"/>
              </w:rPr>
              <w:t>.5</w:t>
            </w:r>
            <w:r>
              <w:rPr>
                <w:rFonts w:hint="eastAsia" w:hAnsi="宋体"/>
                <w:color w:val="000000"/>
                <w:sz w:val="24"/>
                <w:szCs w:val="24"/>
              </w:rPr>
              <w:t>月内完成视频拍摄、制作工作，并提供不少于五年的后期课程应用技术支持服务</w:t>
            </w:r>
          </w:p>
        </w:tc>
        <w:tc>
          <w:tcPr>
            <w:tcW w:w="1353" w:type="dxa"/>
            <w:shd w:val="clear" w:color="auto" w:fill="auto"/>
            <w:vAlign w:val="center"/>
          </w:tcPr>
          <w:p>
            <w:pPr>
              <w:widowControl/>
              <w:adjustRightInd w:val="0"/>
              <w:snapToGrid w:val="0"/>
              <w:jc w:val="center"/>
              <w:rPr>
                <w:rFonts w:hAnsi="宋体"/>
                <w:color w:val="000000"/>
                <w:sz w:val="24"/>
                <w:szCs w:val="24"/>
              </w:rPr>
            </w:pPr>
            <w:r>
              <w:rPr>
                <w:rFonts w:hAnsi="宋体"/>
                <w:color w:val="000000"/>
                <w:sz w:val="24"/>
                <w:szCs w:val="24"/>
              </w:rPr>
              <w:t>320</w:t>
            </w:r>
            <w:r>
              <w:rPr>
                <w:rFonts w:hint="eastAsia" w:hAnsi="宋体"/>
                <w:color w:val="000000"/>
                <w:sz w:val="24"/>
                <w:szCs w:val="24"/>
              </w:rPr>
              <w:t>分钟左右</w:t>
            </w:r>
          </w:p>
        </w:tc>
        <w:tc>
          <w:tcPr>
            <w:tcW w:w="1464" w:type="dxa"/>
            <w:shd w:val="clear" w:color="auto" w:fill="auto"/>
            <w:vAlign w:val="center"/>
          </w:tcPr>
          <w:p>
            <w:pPr>
              <w:widowControl/>
              <w:adjustRightInd w:val="0"/>
              <w:snapToGrid w:val="0"/>
              <w:jc w:val="center"/>
              <w:rPr>
                <w:rFonts w:hAnsi="宋体"/>
                <w:color w:val="000000"/>
                <w:sz w:val="24"/>
                <w:szCs w:val="24"/>
              </w:rPr>
            </w:pPr>
            <w:r>
              <w:rPr>
                <w:rFonts w:hint="eastAsia" w:hAnsi="宋体"/>
                <w:color w:val="000000"/>
                <w:sz w:val="24"/>
                <w:szCs w:val="24"/>
              </w:rPr>
              <w:t>6.</w:t>
            </w:r>
            <w:r>
              <w:rPr>
                <w:rFonts w:hAnsi="宋体"/>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764" w:type="dxa"/>
            <w:gridSpan w:val="4"/>
            <w:shd w:val="clear" w:color="auto" w:fill="auto"/>
            <w:vAlign w:val="center"/>
          </w:tcPr>
          <w:p>
            <w:pPr>
              <w:widowControl/>
              <w:adjustRightInd w:val="0"/>
              <w:snapToGrid w:val="0"/>
              <w:jc w:val="center"/>
              <w:rPr>
                <w:rFonts w:ascii="楷体" w:hAnsi="楷体" w:eastAsia="楷体" w:cs="楷体"/>
                <w:b/>
                <w:bCs/>
                <w:sz w:val="32"/>
                <w:szCs w:val="32"/>
              </w:rPr>
            </w:pPr>
          </w:p>
        </w:tc>
        <w:tc>
          <w:tcPr>
            <w:tcW w:w="1464" w:type="dxa"/>
            <w:shd w:val="clear" w:color="auto" w:fill="auto"/>
            <w:vAlign w:val="center"/>
          </w:tcPr>
          <w:p>
            <w:pPr>
              <w:widowControl/>
              <w:adjustRightInd w:val="0"/>
              <w:snapToGrid w:val="0"/>
              <w:jc w:val="center"/>
              <w:rPr>
                <w:rFonts w:ascii="楷体" w:hAnsi="楷体" w:eastAsia="楷体" w:cs="楷体"/>
                <w:b/>
                <w:bCs/>
                <w:sz w:val="32"/>
                <w:szCs w:val="32"/>
              </w:rPr>
            </w:pPr>
          </w:p>
        </w:tc>
      </w:tr>
    </w:tbl>
    <w:p>
      <w:pPr>
        <w:adjustRightInd w:val="0"/>
        <w:snapToGrid w:val="0"/>
        <w:spacing w:line="440" w:lineRule="exact"/>
        <w:ind w:firstLine="562" w:firstLineChars="200"/>
        <w:rPr>
          <w:rFonts w:hAnsi="宋体" w:cs="宋体"/>
          <w:b/>
          <w:bCs/>
          <w:sz w:val="28"/>
          <w:szCs w:val="28"/>
        </w:rPr>
      </w:pPr>
      <w:r>
        <w:rPr>
          <w:rFonts w:hint="eastAsia" w:hAnsi="宋体" w:cs="宋体"/>
          <w:b/>
          <w:bCs/>
          <w:sz w:val="28"/>
          <w:szCs w:val="28"/>
        </w:rPr>
        <w:t>二、项目服务及技术要求</w:t>
      </w:r>
    </w:p>
    <w:bookmarkEnd w:id="97"/>
    <w:p>
      <w:pPr>
        <w:adjustRightInd w:val="0"/>
        <w:snapToGrid w:val="0"/>
        <w:spacing w:line="440" w:lineRule="exact"/>
        <w:ind w:firstLine="480" w:firstLineChars="200"/>
        <w:rPr>
          <w:rFonts w:hAnsi="宋体"/>
          <w:bCs/>
          <w:sz w:val="24"/>
        </w:rPr>
      </w:pPr>
      <w:r>
        <w:rPr>
          <w:rFonts w:hint="eastAsia" w:hAnsi="宋体"/>
          <w:bCs/>
          <w:sz w:val="24"/>
        </w:rPr>
        <w:t>（一）课程设计</w:t>
      </w:r>
    </w:p>
    <w:p>
      <w:pPr>
        <w:adjustRightInd w:val="0"/>
        <w:snapToGrid w:val="0"/>
        <w:spacing w:line="440" w:lineRule="exact"/>
        <w:ind w:firstLine="480" w:firstLineChars="200"/>
        <w:rPr>
          <w:rFonts w:hAnsi="宋体"/>
          <w:bCs/>
          <w:sz w:val="24"/>
        </w:rPr>
      </w:pPr>
      <w:r>
        <w:rPr>
          <w:rFonts w:hint="eastAsia" w:hAnsi="宋体"/>
          <w:bCs/>
          <w:sz w:val="24"/>
        </w:rPr>
        <w:t>1</w:t>
      </w:r>
      <w:r>
        <w:rPr>
          <w:rFonts w:hAnsi="宋体"/>
          <w:bCs/>
          <w:sz w:val="24"/>
        </w:rPr>
        <w:t>.</w:t>
      </w:r>
      <w:r>
        <w:rPr>
          <w:rFonts w:hint="eastAsia" w:hAnsi="宋体"/>
          <w:bCs/>
          <w:sz w:val="24"/>
        </w:rPr>
        <w:t>教学设计要求：教学设计指导（由教育厅或教育部认定的课程思政教学名师或团队负责人担任）同课程主要负责人根据教学大纲制定整体教学设计方案。与教师、公共教学部沟通收集课程思政资料并根据课程量身定做创意创意策划，分镜头脚本梳理。解说词以及故事板。创意设计必须符合我方的要求，具有较强的视觉冲击力和艺术表现力。要求教学目标明确，思政元素融入恰当，思政教育的载体新颖，知识点或技能点教学策略得当，教学重难点突出，教学逻辑合理，能够有效的提升教学效果及思政育人效果，能够支撑教师的课堂教学、实训教学、学生的自主学习，典型知识点或技能点运用信息数字化手段合理且恰当。</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信息数字化要求：课程涉及信息数字化手段包含但不限于微视频、动画。对课程视频进行精准剪辑，每个知识点或一个典型案例制作成一个慕课视频，每个慕课视频7-1</w:t>
      </w:r>
      <w:r>
        <w:rPr>
          <w:sz w:val="24"/>
          <w:szCs w:val="24"/>
        </w:rPr>
        <w:t>0</w:t>
      </w:r>
      <w:r>
        <w:rPr>
          <w:rFonts w:hint="eastAsia"/>
          <w:sz w:val="24"/>
          <w:szCs w:val="24"/>
        </w:rPr>
        <w:t>分钟，最多不超过1</w:t>
      </w:r>
      <w:r>
        <w:rPr>
          <w:sz w:val="24"/>
          <w:szCs w:val="24"/>
        </w:rPr>
        <w:t>5</w:t>
      </w:r>
      <w:r>
        <w:rPr>
          <w:rFonts w:hint="eastAsia"/>
          <w:sz w:val="24"/>
          <w:szCs w:val="24"/>
        </w:rPr>
        <w:t>分钟。</w:t>
      </w:r>
    </w:p>
    <w:p>
      <w:pPr>
        <w:pStyle w:val="2"/>
        <w:adjustRightInd w:val="0"/>
        <w:snapToGrid w:val="0"/>
        <w:spacing w:line="440" w:lineRule="exact"/>
        <w:ind w:left="0" w:leftChars="0" w:firstLine="480"/>
        <w:rPr>
          <w:sz w:val="24"/>
          <w:szCs w:val="24"/>
        </w:rPr>
      </w:pPr>
      <w:r>
        <w:rPr>
          <w:rFonts w:hint="eastAsia"/>
          <w:sz w:val="24"/>
          <w:szCs w:val="24"/>
        </w:rPr>
        <w:t>3</w:t>
      </w:r>
      <w:r>
        <w:rPr>
          <w:sz w:val="24"/>
          <w:szCs w:val="24"/>
        </w:rPr>
        <w:t>.</w:t>
      </w:r>
      <w:r>
        <w:rPr>
          <w:rFonts w:hint="eastAsia"/>
          <w:sz w:val="24"/>
          <w:szCs w:val="24"/>
        </w:rPr>
        <w:t>在课程的主讲教师明确教学目标的情况下，要求制作方根据教师提供的大纲文本、音频、视频、PPT 等课程参考素材细分知识点，设计思政元素，与课程教师按课程章节和知识点对有关课程资料进行美化和包装，包括但不限于课程 PPT、教案、拓展文档等资料。</w:t>
      </w:r>
    </w:p>
    <w:p>
      <w:pPr>
        <w:pStyle w:val="2"/>
        <w:adjustRightInd w:val="0"/>
        <w:snapToGrid w:val="0"/>
        <w:spacing w:line="440" w:lineRule="exact"/>
        <w:ind w:left="0" w:leftChars="0" w:firstLine="480"/>
        <w:rPr>
          <w:sz w:val="24"/>
          <w:szCs w:val="24"/>
        </w:rPr>
      </w:pPr>
      <w:r>
        <w:rPr>
          <w:rFonts w:hint="eastAsia"/>
          <w:sz w:val="24"/>
          <w:szCs w:val="24"/>
        </w:rPr>
        <w:t>4</w:t>
      </w:r>
      <w:r>
        <w:rPr>
          <w:sz w:val="24"/>
          <w:szCs w:val="24"/>
        </w:rPr>
        <w:t>.</w:t>
      </w:r>
      <w:r>
        <w:rPr>
          <w:rFonts w:hint="eastAsia"/>
          <w:sz w:val="24"/>
          <w:szCs w:val="24"/>
        </w:rPr>
        <w:t>提前针对老师的讲课风格设计出一套适合老师讲课的拍摄方式和拍摄场景，并进行脚本设计与后期制作统筹策划。</w:t>
      </w:r>
    </w:p>
    <w:p>
      <w:pPr>
        <w:pStyle w:val="2"/>
        <w:adjustRightInd w:val="0"/>
        <w:snapToGrid w:val="0"/>
        <w:spacing w:line="440" w:lineRule="exact"/>
        <w:ind w:left="0" w:leftChars="0" w:firstLine="480"/>
        <w:rPr>
          <w:sz w:val="24"/>
          <w:szCs w:val="24"/>
        </w:rPr>
      </w:pPr>
      <w:r>
        <w:rPr>
          <w:rFonts w:hint="eastAsia"/>
          <w:sz w:val="24"/>
          <w:szCs w:val="24"/>
        </w:rPr>
        <w:t>5</w:t>
      </w:r>
      <w:r>
        <w:rPr>
          <w:sz w:val="24"/>
          <w:szCs w:val="24"/>
        </w:rPr>
        <w:t>.</w:t>
      </w:r>
      <w:r>
        <w:rPr>
          <w:rFonts w:hint="eastAsia"/>
          <w:sz w:val="24"/>
          <w:szCs w:val="24"/>
        </w:rPr>
        <w:t>教学设计指导、制作人与课程教师确定拍摄章节和知识点，根据课程内容进行策划制作效果，选择场地、服装搭配，协调拍摄注意事项等问题。</w:t>
      </w:r>
    </w:p>
    <w:p>
      <w:pPr>
        <w:pStyle w:val="2"/>
        <w:adjustRightInd w:val="0"/>
        <w:snapToGrid w:val="0"/>
        <w:spacing w:line="440" w:lineRule="exact"/>
        <w:ind w:left="0" w:leftChars="0" w:firstLine="0" w:firstLineChars="0"/>
        <w:rPr>
          <w:sz w:val="24"/>
          <w:szCs w:val="24"/>
        </w:rPr>
      </w:pPr>
      <w:r>
        <w:rPr>
          <w:rFonts w:hint="eastAsia"/>
          <w:sz w:val="24"/>
          <w:szCs w:val="24"/>
        </w:rPr>
        <w:t xml:space="preserve"> </w:t>
      </w:r>
      <w:r>
        <w:rPr>
          <w:sz w:val="24"/>
          <w:szCs w:val="24"/>
        </w:rPr>
        <w:t xml:space="preserve">   </w:t>
      </w:r>
      <w:r>
        <w:rPr>
          <w:rFonts w:hint="eastAsia"/>
          <w:sz w:val="24"/>
          <w:szCs w:val="24"/>
        </w:rPr>
        <w:t>（二）拍摄准备</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拍摄前对老师进行培训，包括拍摄时的发声、角度、表情、化妆等。要求拍摄前对老师进行培训，让老师可以根据课程内容梳理课程知识点及对应拍摄风格，能够让老师熟悉拍摄流程，尽快融入课程拍摄中。拍摄要与老师深度沟通，收集材料，协助起草课程脚本、拟定分组镜头大纲。配备专业拍摄人员，具备丰富的课程视频拍摄经验，能够灵活处理拍摄过程中的各类问题。</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录制场所及拍摄方式，为课程拍摄提供专业的摄影棚和相关配套设备。布置拍摄环境，及时联系教师，确定拍摄场地和时间。能够调动教师情绪，以确保教师在录制过程中保持最佳精神状态。为满足实际课程拍摄的需要，供应商需至少提供以下几种拍摄模式供课程负责老师选择。</w:t>
      </w:r>
    </w:p>
    <w:p>
      <w:pPr>
        <w:pStyle w:val="2"/>
        <w:adjustRightInd w:val="0"/>
        <w:snapToGrid w:val="0"/>
        <w:spacing w:line="440" w:lineRule="exact"/>
        <w:ind w:left="0" w:leftChars="0" w:firstLine="480"/>
        <w:rPr>
          <w:sz w:val="24"/>
          <w:szCs w:val="24"/>
        </w:rPr>
      </w:pPr>
      <w:r>
        <w:rPr>
          <w:rFonts w:hint="eastAsia"/>
          <w:sz w:val="24"/>
          <w:szCs w:val="24"/>
        </w:rPr>
        <w:t>（1）大屏 PPT 模式：在摄影棚内拍摄，全程 PPT 演示可展示教学素材。</w:t>
      </w:r>
    </w:p>
    <w:p>
      <w:pPr>
        <w:pStyle w:val="2"/>
        <w:adjustRightInd w:val="0"/>
        <w:snapToGrid w:val="0"/>
        <w:spacing w:line="440" w:lineRule="exact"/>
        <w:ind w:left="0" w:leftChars="0" w:firstLine="480"/>
        <w:rPr>
          <w:sz w:val="24"/>
          <w:szCs w:val="24"/>
        </w:rPr>
      </w:pPr>
      <w:r>
        <w:rPr>
          <w:rFonts w:hint="eastAsia"/>
          <w:sz w:val="24"/>
          <w:szCs w:val="24"/>
        </w:rPr>
        <w:t>（2）实景访谈模式：在摄影棚内摆拍根据访谈人数，设定机位数一般 2-3 机位，教学过程由多位老师交流讨论完成。适合启发性的、思维拓展和发散的课程内容。</w:t>
      </w:r>
    </w:p>
    <w:p>
      <w:pPr>
        <w:pStyle w:val="2"/>
        <w:adjustRightInd w:val="0"/>
        <w:snapToGrid w:val="0"/>
        <w:spacing w:line="440" w:lineRule="exact"/>
        <w:ind w:left="0" w:leftChars="0" w:firstLine="480"/>
        <w:rPr>
          <w:sz w:val="24"/>
          <w:szCs w:val="24"/>
        </w:rPr>
      </w:pPr>
      <w:r>
        <w:rPr>
          <w:rFonts w:hint="eastAsia"/>
          <w:sz w:val="24"/>
          <w:szCs w:val="24"/>
        </w:rPr>
        <w:t>（3）实景演示模式：在实训基地安排多机位拍摄通过实际操作演示完成教学过程。</w:t>
      </w:r>
    </w:p>
    <w:p>
      <w:pPr>
        <w:pStyle w:val="2"/>
        <w:adjustRightInd w:val="0"/>
        <w:snapToGrid w:val="0"/>
        <w:spacing w:line="440" w:lineRule="exact"/>
        <w:ind w:left="0" w:leftChars="0" w:firstLine="480"/>
        <w:rPr>
          <w:sz w:val="24"/>
          <w:szCs w:val="24"/>
        </w:rPr>
      </w:pPr>
      <w:r>
        <w:rPr>
          <w:rFonts w:hint="eastAsia"/>
          <w:sz w:val="24"/>
          <w:szCs w:val="24"/>
        </w:rPr>
        <w:t>（4）黑白背模式：在摄影棚内按照脚本设计完成课程拍摄，后期配动态背景可以根据老师讲课风格特点增加课程趣味性。</w:t>
      </w:r>
    </w:p>
    <w:p>
      <w:pPr>
        <w:pStyle w:val="2"/>
        <w:adjustRightInd w:val="0"/>
        <w:snapToGrid w:val="0"/>
        <w:spacing w:line="440" w:lineRule="exact"/>
        <w:ind w:left="0" w:leftChars="0" w:firstLine="480"/>
        <w:rPr>
          <w:sz w:val="24"/>
          <w:szCs w:val="24"/>
        </w:rPr>
      </w:pPr>
      <w:r>
        <w:rPr>
          <w:rFonts w:hint="eastAsia"/>
          <w:sz w:val="24"/>
          <w:szCs w:val="24"/>
        </w:rPr>
        <w:t>（5）虚拟抠像模式：老师在基地摄影棚内完成虚拟背景拍摄，后期用抠像模式展现课程，可根据课程特点加入各种风格的背景等。</w:t>
      </w:r>
    </w:p>
    <w:p>
      <w:pPr>
        <w:pStyle w:val="2"/>
        <w:adjustRightInd w:val="0"/>
        <w:snapToGrid w:val="0"/>
        <w:spacing w:line="440" w:lineRule="exact"/>
        <w:ind w:left="0" w:leftChars="0" w:firstLine="480"/>
        <w:rPr>
          <w:sz w:val="24"/>
          <w:szCs w:val="24"/>
        </w:rPr>
      </w:pPr>
      <w:r>
        <w:rPr>
          <w:rFonts w:hint="eastAsia"/>
          <w:sz w:val="24"/>
          <w:szCs w:val="24"/>
        </w:rPr>
        <w:t>（6）真人动画模式：在摄影棚内按照脚本设计完成课程拍摄，后期配动画可以根据老师讲课风格特点增加课程趣味性。</w:t>
      </w:r>
    </w:p>
    <w:p>
      <w:pPr>
        <w:pStyle w:val="2"/>
        <w:adjustRightInd w:val="0"/>
        <w:snapToGrid w:val="0"/>
        <w:spacing w:line="440" w:lineRule="exact"/>
        <w:ind w:left="0" w:leftChars="0" w:firstLine="480"/>
        <w:rPr>
          <w:sz w:val="24"/>
          <w:szCs w:val="24"/>
        </w:rPr>
      </w:pPr>
      <w:r>
        <w:rPr>
          <w:rFonts w:hint="eastAsia"/>
          <w:sz w:val="24"/>
          <w:szCs w:val="24"/>
        </w:rPr>
        <w:t>（7）完全动画模式：老师根据讲稿在基地摄影棚内完成高音质录音，后期用动画模式展现课程，可根据课程特点加入诙谐幽默等风格的配音动画等。</w:t>
      </w:r>
    </w:p>
    <w:p>
      <w:pPr>
        <w:pStyle w:val="2"/>
        <w:adjustRightInd w:val="0"/>
        <w:snapToGrid w:val="0"/>
        <w:spacing w:line="440" w:lineRule="exact"/>
        <w:ind w:left="0" w:leftChars="0" w:firstLine="480"/>
        <w:rPr>
          <w:sz w:val="24"/>
          <w:szCs w:val="24"/>
        </w:rPr>
      </w:pPr>
      <w:r>
        <w:rPr>
          <w:rFonts w:hint="eastAsia"/>
          <w:sz w:val="24"/>
          <w:szCs w:val="24"/>
        </w:rPr>
        <w:t>根据拍摄技术标准和课程内容，设计贴合教师授课特点的拍摄形式，与教师沟通说明拍摄要求，并为教师提供专业的妆容、着装意见。</w:t>
      </w:r>
    </w:p>
    <w:p>
      <w:pPr>
        <w:pStyle w:val="2"/>
        <w:adjustRightInd w:val="0"/>
        <w:snapToGrid w:val="0"/>
        <w:spacing w:line="440" w:lineRule="exact"/>
        <w:ind w:left="0" w:leftChars="0" w:firstLine="480"/>
        <w:rPr>
          <w:sz w:val="24"/>
          <w:szCs w:val="24"/>
        </w:rPr>
      </w:pPr>
      <w:r>
        <w:rPr>
          <w:rFonts w:hint="eastAsia"/>
          <w:sz w:val="24"/>
          <w:szCs w:val="24"/>
        </w:rPr>
        <w:t>（三）设备要求</w:t>
      </w:r>
    </w:p>
    <w:p>
      <w:pPr>
        <w:pStyle w:val="2"/>
        <w:adjustRightInd w:val="0"/>
        <w:snapToGrid w:val="0"/>
        <w:spacing w:line="440" w:lineRule="exact"/>
        <w:ind w:left="0" w:leftChars="0" w:firstLine="480"/>
        <w:rPr>
          <w:sz w:val="24"/>
          <w:szCs w:val="24"/>
        </w:rPr>
      </w:pPr>
      <w:r>
        <w:rPr>
          <w:rFonts w:hint="eastAsia"/>
          <w:sz w:val="24"/>
          <w:szCs w:val="24"/>
        </w:rPr>
        <w:t>必须运用专业的拍摄设备和辅助及灯光设备，拍摄手段丰富，镜头运动方式多样，在视听效果上要求音乐与画面统一协调达到最佳的视听感受。</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制作方提供多场地专业课程录影棚作为拍摄场地，需在拍摄场地专门搭建符合不同课程内容特点的教学场景，以方便用于课程拍摄制作。</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录像设备：使用 2 台或以上专业级高清 4k 及以上数字设备，保证设备能正常完成拍摄任务。多机位部署专业广播级 4k 高清摄像机（至少 3 机位），最大像素不低于 1160 万，摄像机拍摄时采用分辨率为 4096×2160，60fps 的要求，录制视频宽高比 16:9，视频帧率为 25 帧/秒。拍摄设备要同型同款，多台高清摄像机保证录制效果的一致性；收音设备：使用至少 3 个专业领夹收声设备，保证教师和学生发言的录音质量。</w:t>
      </w:r>
    </w:p>
    <w:p>
      <w:pPr>
        <w:pStyle w:val="2"/>
        <w:adjustRightInd w:val="0"/>
        <w:snapToGrid w:val="0"/>
        <w:spacing w:line="440" w:lineRule="exact"/>
        <w:ind w:left="0" w:leftChars="0" w:firstLine="480"/>
        <w:rPr>
          <w:sz w:val="24"/>
          <w:szCs w:val="24"/>
        </w:rPr>
      </w:pPr>
      <w:r>
        <w:rPr>
          <w:rFonts w:hint="eastAsia"/>
          <w:sz w:val="24"/>
          <w:szCs w:val="24"/>
        </w:rPr>
        <w:t>3</w:t>
      </w:r>
      <w:r>
        <w:rPr>
          <w:sz w:val="24"/>
          <w:szCs w:val="24"/>
        </w:rPr>
        <w:t>.</w:t>
      </w:r>
      <w:r>
        <w:rPr>
          <w:rFonts w:hint="eastAsia"/>
          <w:sz w:val="24"/>
          <w:szCs w:val="24"/>
        </w:rPr>
        <w:t>应为拍摄场地配备三基色灯光系统或专业演播室用 LED 灯光系统、聚光灯、音响系统、吊装式麦克风和无线佩戴式麦克风若干等，保证录音、录像质量；监听设备：监听耳机 3 副。录音设备：根据课程内容要求，使用专业级话筒，保证主讲教师及与课程相关人员声音清晰。存储设备：专业储存设备及有效容量应能保证正常完成拍摄任务。</w:t>
      </w:r>
    </w:p>
    <w:p>
      <w:pPr>
        <w:pStyle w:val="2"/>
        <w:adjustRightInd w:val="0"/>
        <w:snapToGrid w:val="0"/>
        <w:spacing w:line="440" w:lineRule="exact"/>
        <w:ind w:left="0" w:leftChars="0" w:firstLine="480"/>
        <w:rPr>
          <w:sz w:val="24"/>
          <w:szCs w:val="24"/>
        </w:rPr>
      </w:pPr>
      <w:r>
        <w:rPr>
          <w:rFonts w:hint="eastAsia"/>
          <w:sz w:val="24"/>
          <w:szCs w:val="24"/>
        </w:rPr>
        <w:t>4</w:t>
      </w:r>
      <w:r>
        <w:rPr>
          <w:sz w:val="24"/>
          <w:szCs w:val="24"/>
        </w:rPr>
        <w:t>.</w:t>
      </w:r>
      <w:r>
        <w:rPr>
          <w:rFonts w:hint="eastAsia"/>
          <w:sz w:val="24"/>
          <w:szCs w:val="24"/>
        </w:rPr>
        <w:t>应为拍摄场地配备专业投影题词设备、中控台等设备；辅助记忆设备（提词器）1 套。后期制作设备须采用专业非线编辑系统(1920*50M/S)进行（如抠像、颜色校正、双声道处理）。</w:t>
      </w:r>
    </w:p>
    <w:p>
      <w:pPr>
        <w:pStyle w:val="2"/>
        <w:adjustRightInd w:val="0"/>
        <w:snapToGrid w:val="0"/>
        <w:spacing w:line="440" w:lineRule="exact"/>
        <w:ind w:left="0" w:leftChars="0" w:firstLine="480"/>
        <w:rPr>
          <w:sz w:val="24"/>
          <w:szCs w:val="24"/>
        </w:rPr>
      </w:pPr>
      <w:r>
        <w:rPr>
          <w:rFonts w:hint="eastAsia" w:hAnsi="宋体" w:cs="宋体"/>
          <w:bCs/>
          <w:sz w:val="24"/>
          <w:szCs w:val="24"/>
        </w:rPr>
        <w:t>★</w:t>
      </w:r>
      <w:r>
        <w:rPr>
          <w:rFonts w:hint="eastAsia"/>
          <w:sz w:val="24"/>
          <w:szCs w:val="24"/>
        </w:rPr>
        <w:t>（四）视频要求</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画面清晰、通透，曝光正确、适度，色彩还原准确。节目图像连续、无缺失，没有与课程内容无关的跳动、闪烁或马赛克等异常现象，图像的明暗、色彩和层次应与节目内容相对应。在同一门课程中标清和高清格式不得混用。</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片头片尾制作，长度 4-10 秒钟，能够体现课程的思政特色，形式新颖，具有学校元素以及适当的音乐；片头或片尾应使用体现课程所属院校、机构特色的素材；片头或片尾中应出现明显、不失真的课程所属院校、机构的字样和标志。</w:t>
      </w:r>
    </w:p>
    <w:p>
      <w:pPr>
        <w:pStyle w:val="2"/>
        <w:adjustRightInd w:val="0"/>
        <w:snapToGrid w:val="0"/>
        <w:spacing w:line="440" w:lineRule="exact"/>
        <w:ind w:left="0" w:leftChars="0" w:firstLine="480"/>
        <w:rPr>
          <w:sz w:val="24"/>
          <w:szCs w:val="24"/>
        </w:rPr>
      </w:pPr>
      <w:r>
        <w:rPr>
          <w:rFonts w:hint="eastAsia"/>
          <w:sz w:val="24"/>
          <w:szCs w:val="24"/>
        </w:rPr>
        <w:t>3</w:t>
      </w:r>
      <w:r>
        <w:rPr>
          <w:sz w:val="24"/>
          <w:szCs w:val="24"/>
        </w:rPr>
        <w:t>.</w:t>
      </w:r>
      <w:r>
        <w:rPr>
          <w:rFonts w:hint="eastAsia"/>
          <w:sz w:val="24"/>
          <w:szCs w:val="24"/>
        </w:rPr>
        <w:t>制作有课程特色和学校特色的课程封图：文件格式 jpg 或 gif，图片大小不低于 1024*768，风格清新自然，有吸引力。制作课程资源添加学校 LOGO：视频的相应位置加学校 LOGO 标志，标识应明显、且不影响正常视频内容。在视频中不得出现制作公司署名。</w:t>
      </w:r>
    </w:p>
    <w:p>
      <w:pPr>
        <w:pStyle w:val="2"/>
        <w:adjustRightInd w:val="0"/>
        <w:snapToGrid w:val="0"/>
        <w:spacing w:line="440" w:lineRule="exact"/>
        <w:ind w:left="0" w:leftChars="0" w:firstLine="480"/>
        <w:rPr>
          <w:sz w:val="24"/>
          <w:szCs w:val="24"/>
        </w:rPr>
      </w:pPr>
      <w:r>
        <w:rPr>
          <w:rFonts w:hint="eastAsia"/>
          <w:sz w:val="24"/>
          <w:szCs w:val="24"/>
        </w:rPr>
        <w:t>4</w:t>
      </w:r>
      <w:r>
        <w:rPr>
          <w:sz w:val="24"/>
          <w:szCs w:val="24"/>
        </w:rPr>
        <w:t>.</w:t>
      </w:r>
      <w:r>
        <w:rPr>
          <w:rFonts w:hint="eastAsia"/>
          <w:sz w:val="24"/>
          <w:szCs w:val="24"/>
        </w:rPr>
        <w:t>对授课内容按照教学过程、知识点等进行切割，并打上标签，便于检索。对于视频可提供多种全文检索方式：标题检索、主讲人检索、主讲人单位检索、知识节点检索。</w:t>
      </w:r>
    </w:p>
    <w:p>
      <w:pPr>
        <w:pStyle w:val="2"/>
        <w:adjustRightInd w:val="0"/>
        <w:snapToGrid w:val="0"/>
        <w:spacing w:line="440" w:lineRule="exact"/>
        <w:ind w:left="0" w:leftChars="0" w:firstLine="480"/>
        <w:rPr>
          <w:sz w:val="24"/>
          <w:szCs w:val="24"/>
        </w:rPr>
      </w:pPr>
      <w:r>
        <w:rPr>
          <w:rFonts w:hint="eastAsia"/>
          <w:sz w:val="24"/>
          <w:szCs w:val="24"/>
        </w:rPr>
        <w:t>（五）视频拍摄技术指标</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视频信号源，稳定性：全片图像同步性能稳定，无失步现象，CTL 同步控制信号必须连续；图像无抖动跳跃，色彩无突变，编辑点处图像稳定。信噪比：图像信噪比不低于 55dB，无明显杂波。色调：白平衡正确，无明显偏色，多机拍摄的镜头衔接处无明显色差。视频电平：视频全讯号幅度为 1Ⅴp-p，最大不超过 1.1Ⅴp-p。其中，消隐电平为 0V 时，白电平幅度 0.7Ⅴp-p，同步信号-0.3V，色同步信号幅度 0.3Vp-p(以消隐线上下对称)，全片一致。</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音频信号源声道：中文内容音频信号记录于第 1 声道，音乐、音效、同期声记录于第 2 声道，若有其他文字解说记录于第 3 声道（如录音设备无第 3声道，则录于第 2 声道）。电平指标：-2db— -8db 声音应清晰、饱满、圆润，无失真、放音过冲、过弱。音频信噪比不低于 48db。声音和画面要求同步，无交流声或其他杂音等缺陷。伴音清晰、饱满、圆润，无失真、噪声杂音干扰、音量忽大忽小现象。解说声与现场声无明显比例失调。</w:t>
      </w:r>
    </w:p>
    <w:p>
      <w:pPr>
        <w:pStyle w:val="2"/>
        <w:adjustRightInd w:val="0"/>
        <w:snapToGrid w:val="0"/>
        <w:spacing w:line="440" w:lineRule="exact"/>
        <w:ind w:left="0" w:leftChars="0" w:firstLine="480"/>
        <w:rPr>
          <w:sz w:val="24"/>
          <w:szCs w:val="24"/>
        </w:rPr>
      </w:pPr>
      <w:r>
        <w:rPr>
          <w:rFonts w:hint="eastAsia"/>
          <w:sz w:val="24"/>
          <w:szCs w:val="24"/>
        </w:rPr>
        <w:t>3</w:t>
      </w:r>
      <w:r>
        <w:rPr>
          <w:sz w:val="24"/>
          <w:szCs w:val="24"/>
        </w:rPr>
        <w:t>.</w:t>
      </w:r>
      <w:r>
        <w:rPr>
          <w:rFonts w:hint="eastAsia"/>
          <w:sz w:val="24"/>
          <w:szCs w:val="24"/>
        </w:rPr>
        <w:t>如果课程无法在制作方提供的摄影棚完成拍摄，则由学校指定录制地点和录制时间，供应商必须服从学校安排，委派专业录制技术人员，供应商自备录制设备，按照学校录制服务的要求，每次录制必须提前十分钟到场，布置录制事宜。</w:t>
      </w:r>
    </w:p>
    <w:p>
      <w:pPr>
        <w:pStyle w:val="2"/>
        <w:adjustRightInd w:val="0"/>
        <w:snapToGrid w:val="0"/>
        <w:spacing w:line="440" w:lineRule="exact"/>
        <w:ind w:left="0" w:leftChars="0" w:firstLine="480"/>
        <w:rPr>
          <w:sz w:val="24"/>
          <w:szCs w:val="24"/>
        </w:rPr>
      </w:pPr>
      <w:r>
        <w:rPr>
          <w:rFonts w:hint="eastAsia"/>
          <w:sz w:val="24"/>
          <w:szCs w:val="24"/>
        </w:rPr>
        <w:t>（六）视频图像质量标准</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视频编码方式 H.264.MP4(视频压缩采用 H.264 编码方式，封装格式采用 MP4)，视频分辨率提交的高清成片不低于 1920*1080 像素，同时还需分辨率不低于 720*480 像素的标清文件，视频码率 8Mbps 以上，视频帧率不低于 25fps，提供片头和片尾设计和制作；</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视频画幅宽高比：宽高比为 16:9;在同一课程中，各讲应统一画幅的宽高比，不得混用；视频信噪比：图像信噪比不低于 55dB，无明显杂波；</w:t>
      </w:r>
    </w:p>
    <w:p>
      <w:pPr>
        <w:pStyle w:val="2"/>
        <w:adjustRightInd w:val="0"/>
        <w:snapToGrid w:val="0"/>
        <w:spacing w:line="440" w:lineRule="exact"/>
        <w:ind w:left="0" w:leftChars="0" w:firstLine="480"/>
        <w:rPr>
          <w:sz w:val="24"/>
          <w:szCs w:val="24"/>
        </w:rPr>
      </w:pPr>
      <w:r>
        <w:rPr>
          <w:sz w:val="24"/>
          <w:szCs w:val="24"/>
        </w:rPr>
        <w:t>3.</w:t>
      </w:r>
      <w:r>
        <w:rPr>
          <w:rFonts w:hint="eastAsia"/>
          <w:sz w:val="24"/>
          <w:szCs w:val="24"/>
        </w:rPr>
        <w:t>色调：白平衡正确，无明显偏色，多机拍摄的镜头衔接处无明显色差；稳定性：全片图像同步性能稳定，无失步现象，图像无过亮、过暗，人、物移动时无拖影、耀光现象，剪辑点处图像稳定，衔接自然，无空白帧，无其他图像质量问题，场景切换自然流畅，色彩无突变，画面无晃动、抖动、模糊聚焦和镜头频繁拉伸等。</w:t>
      </w:r>
    </w:p>
    <w:p>
      <w:pPr>
        <w:pStyle w:val="2"/>
        <w:adjustRightInd w:val="0"/>
        <w:snapToGrid w:val="0"/>
        <w:spacing w:line="440" w:lineRule="exact"/>
        <w:ind w:left="0" w:leftChars="0" w:firstLine="480"/>
        <w:rPr>
          <w:sz w:val="24"/>
          <w:szCs w:val="24"/>
        </w:rPr>
      </w:pPr>
      <w:r>
        <w:rPr>
          <w:sz w:val="24"/>
          <w:szCs w:val="24"/>
        </w:rPr>
        <w:t>4.</w:t>
      </w:r>
      <w:r>
        <w:rPr>
          <w:rFonts w:hint="eastAsia"/>
          <w:sz w:val="24"/>
          <w:szCs w:val="24"/>
        </w:rPr>
        <w:t>后期特效保证画面美观、色彩真实，符合摄影构图规则；视频编码、视频分辨率、视频画幅宽高比，根据不同的使用需求，可进行必要更换，具体由需求方确定。</w:t>
      </w:r>
    </w:p>
    <w:p>
      <w:pPr>
        <w:pStyle w:val="2"/>
        <w:adjustRightInd w:val="0"/>
        <w:snapToGrid w:val="0"/>
        <w:spacing w:line="440" w:lineRule="exact"/>
        <w:ind w:left="0" w:leftChars="0" w:firstLine="480"/>
        <w:rPr>
          <w:sz w:val="24"/>
          <w:szCs w:val="24"/>
        </w:rPr>
      </w:pPr>
      <w:r>
        <w:rPr>
          <w:rFonts w:hint="eastAsia"/>
          <w:sz w:val="24"/>
          <w:szCs w:val="24"/>
        </w:rPr>
        <w:t>（七）视频压缩格式及技术参数</w:t>
      </w:r>
    </w:p>
    <w:p>
      <w:pPr>
        <w:pStyle w:val="2"/>
        <w:adjustRightInd w:val="0"/>
        <w:snapToGrid w:val="0"/>
        <w:spacing w:line="440" w:lineRule="exact"/>
        <w:ind w:left="0" w:leftChars="0" w:firstLine="480"/>
        <w:rPr>
          <w:sz w:val="24"/>
          <w:szCs w:val="24"/>
        </w:rPr>
      </w:pPr>
      <w:r>
        <w:rPr>
          <w:rFonts w:hint="eastAsia"/>
          <w:sz w:val="24"/>
          <w:szCs w:val="24"/>
        </w:rPr>
        <w:t>全片图像同步性能稳定,无失步现象，图像无抖动跳跃，色彩无突变，编辑点处图像稳定。白平衡正确，无明显偏色，多机拍摄的镜头衔接处无明显色差。</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视频压缩采用 H.264/AVC (MPEG-4 Part10)编码、使用二次编码、不包含字幕的 MP4 格式。</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视频码流率:动态码流的最高码率不高于 4M，最低码率不得低于 1.5M；视频分辨率:采用高清 16:9 拍摄时，设定为 1920×1080；视频画幅宽高比分辨率设定为 1920×1080,选定 16:9；视频帧率为 25 帧/秒。扫描方式采用逐行扫描。</w:t>
      </w:r>
    </w:p>
    <w:p>
      <w:pPr>
        <w:pStyle w:val="2"/>
        <w:adjustRightInd w:val="0"/>
        <w:snapToGrid w:val="0"/>
        <w:spacing w:line="440" w:lineRule="exact"/>
        <w:ind w:left="0" w:leftChars="0" w:firstLine="480"/>
        <w:rPr>
          <w:sz w:val="24"/>
          <w:szCs w:val="24"/>
        </w:rPr>
      </w:pPr>
      <w:r>
        <w:rPr>
          <w:rFonts w:hint="eastAsia"/>
          <w:sz w:val="24"/>
          <w:szCs w:val="24"/>
        </w:rPr>
        <w:t>（八）音频压缩格式及技术参数</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音频格式采用线性高级音频编码格式，Linear AAC (Advanced AudioCoding)；音频采样率不低于 48KHz；音频码率不低于 1.4Mbps；音频电平：-6db——0db；音频信噪比大于 50db。</w:t>
      </w:r>
    </w:p>
    <w:p>
      <w:pPr>
        <w:pStyle w:val="2"/>
        <w:adjustRightInd w:val="0"/>
        <w:snapToGrid w:val="0"/>
        <w:spacing w:line="440" w:lineRule="exact"/>
        <w:ind w:left="0" w:leftChars="0" w:firstLine="480"/>
        <w:rPr>
          <w:sz w:val="24"/>
          <w:szCs w:val="24"/>
        </w:rPr>
      </w:pPr>
      <w:r>
        <w:rPr>
          <w:sz w:val="24"/>
          <w:szCs w:val="24"/>
        </w:rPr>
        <w:t>2.</w:t>
      </w:r>
      <w:r>
        <w:rPr>
          <w:rFonts w:hint="eastAsia"/>
          <w:sz w:val="24"/>
          <w:szCs w:val="24"/>
        </w:rPr>
        <w:t>至少是双声道，做混音处理；声音效果，声音和画面同步，无明显失真、无明显噪音、回声或其它杂音，无音量忽大忽小现象；伴音清晰、饱满、圆润，解说声与现场声无明显比例失调，解说声与背景音乐无明显比例失调，无其他声音质量问题。</w:t>
      </w:r>
    </w:p>
    <w:p>
      <w:pPr>
        <w:pStyle w:val="2"/>
        <w:adjustRightInd w:val="0"/>
        <w:snapToGrid w:val="0"/>
        <w:spacing w:line="440" w:lineRule="exact"/>
        <w:ind w:left="0" w:leftChars="0" w:firstLine="480"/>
        <w:rPr>
          <w:sz w:val="24"/>
          <w:szCs w:val="24"/>
        </w:rPr>
      </w:pPr>
      <w:r>
        <w:rPr>
          <w:rFonts w:hint="eastAsia"/>
          <w:sz w:val="24"/>
          <w:szCs w:val="24"/>
        </w:rPr>
        <w:t>（九）外挂字幕文件</w:t>
      </w:r>
    </w:p>
    <w:p>
      <w:pPr>
        <w:pStyle w:val="2"/>
        <w:adjustRightInd w:val="0"/>
        <w:snapToGrid w:val="0"/>
        <w:spacing w:line="440" w:lineRule="exact"/>
        <w:ind w:left="0" w:leftChars="0" w:firstLine="480"/>
        <w:rPr>
          <w:sz w:val="24"/>
          <w:szCs w:val="24"/>
        </w:rPr>
      </w:pPr>
      <w:r>
        <w:rPr>
          <w:rFonts w:hint="eastAsia"/>
          <w:sz w:val="24"/>
          <w:szCs w:val="24"/>
        </w:rPr>
        <w:t>对老师讲课的内容进行全片外挂唱词的添加，生成外挂唱词文件。</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字幕要使用符合国家标准的规范字，不出现繁体字、异体字（国家规定的除外）、错别字。字幕无口述性逻辑错误，单行显示，每行不超过 15 字，但不能简单按照字数断句，以内容为断句依据。</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字幕的字体、大小、色彩搭配、摆放位置、停留时间、出入屏方式力求与其他要素〔画面、解说词、音乐） 配合适当，不破坏原有画面。字幕采用 UTF-8 编码，时间轴准确，字幕出现时间与视频声音一致，音频对轨误差不超过 500 毫秒。</w:t>
      </w:r>
    </w:p>
    <w:p>
      <w:pPr>
        <w:pStyle w:val="2"/>
        <w:adjustRightInd w:val="0"/>
        <w:snapToGrid w:val="0"/>
        <w:spacing w:line="440" w:lineRule="exact"/>
        <w:ind w:left="0" w:leftChars="0" w:firstLine="480"/>
        <w:rPr>
          <w:sz w:val="24"/>
          <w:szCs w:val="24"/>
        </w:rPr>
      </w:pPr>
      <w:r>
        <w:rPr>
          <w:rFonts w:hint="eastAsia"/>
          <w:sz w:val="24"/>
          <w:szCs w:val="24"/>
        </w:rPr>
        <w:t>3</w:t>
      </w:r>
      <w:r>
        <w:rPr>
          <w:sz w:val="24"/>
          <w:szCs w:val="24"/>
        </w:rPr>
        <w:t>.</w:t>
      </w:r>
      <w:r>
        <w:rPr>
          <w:rFonts w:hint="eastAsia"/>
          <w:sz w:val="24"/>
          <w:szCs w:val="24"/>
        </w:rPr>
        <w:t>字幕不能固定加在视频上，必须以单独的 SRT 文件格式提供。成片需生成无字幕版本和中英文字幕版本各一个。</w:t>
      </w:r>
    </w:p>
    <w:p>
      <w:pPr>
        <w:pStyle w:val="2"/>
        <w:adjustRightInd w:val="0"/>
        <w:snapToGrid w:val="0"/>
        <w:spacing w:line="440" w:lineRule="exact"/>
        <w:ind w:left="0" w:leftChars="0" w:firstLine="480"/>
        <w:rPr>
          <w:sz w:val="24"/>
          <w:szCs w:val="24"/>
        </w:rPr>
      </w:pPr>
      <w:r>
        <w:rPr>
          <w:rFonts w:hint="eastAsia"/>
          <w:sz w:val="24"/>
          <w:szCs w:val="24"/>
        </w:rPr>
        <w:t>（十）拍摄机位场景标准</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在线课程拍摄，应使用至少 2 机位多镜头同时拍摄，其中老师特写、全景机位各一台；</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拍摄场景具备人物特写、板书特写、人物中景、全景扫描等场景功能。</w:t>
      </w:r>
    </w:p>
    <w:p>
      <w:pPr>
        <w:pStyle w:val="2"/>
        <w:adjustRightInd w:val="0"/>
        <w:snapToGrid w:val="0"/>
        <w:spacing w:line="440" w:lineRule="exact"/>
        <w:ind w:left="0" w:leftChars="0" w:firstLine="480"/>
        <w:rPr>
          <w:sz w:val="24"/>
          <w:szCs w:val="24"/>
        </w:rPr>
      </w:pPr>
      <w:r>
        <w:rPr>
          <w:rFonts w:hint="eastAsia"/>
          <w:sz w:val="24"/>
          <w:szCs w:val="24"/>
        </w:rPr>
        <w:t>（十一）视频剪辑与后期包装</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剪辑流畅，无生硬镜头，无空白帧，转场特效明确、自然。视频压缩格式及技术参数：视频压缩采用 H.264/AVC(MPEG-4 Part10)编码、使用二次编码、不包含字幕的 MP4 格式。</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视频码流率：动态码流的最高码率不高于 2500Kbps，最低码率不得低于 1024Kbps。视频分辨率：前期采用高清 16:9 拍摄时，设定为 1024×576。在同一课程中，各讲的视频分辨率统一，统一高清。视频画幅宽高比：分辨率设定为 1024×576 的，选定为 16:9。在同一课程中，各讲画幅的宽高比统一。视频帧率为 25 帧/秒。扫描方式采用逐行扫描。</w:t>
      </w:r>
    </w:p>
    <w:p>
      <w:pPr>
        <w:pStyle w:val="2"/>
        <w:adjustRightInd w:val="0"/>
        <w:snapToGrid w:val="0"/>
        <w:spacing w:line="440" w:lineRule="exact"/>
        <w:ind w:left="0" w:leftChars="0" w:firstLine="480"/>
        <w:rPr>
          <w:sz w:val="24"/>
          <w:szCs w:val="24"/>
        </w:rPr>
      </w:pPr>
      <w:r>
        <w:rPr>
          <w:sz w:val="24"/>
          <w:szCs w:val="24"/>
        </w:rPr>
        <w:t>3.</w:t>
      </w:r>
      <w:r>
        <w:rPr>
          <w:rFonts w:hint="eastAsia"/>
          <w:sz w:val="24"/>
          <w:szCs w:val="24"/>
        </w:rPr>
        <w:t>音频压缩格式及技术参数：</w:t>
      </w:r>
    </w:p>
    <w:p>
      <w:pPr>
        <w:pStyle w:val="2"/>
        <w:adjustRightInd w:val="0"/>
        <w:snapToGrid w:val="0"/>
        <w:spacing w:line="440" w:lineRule="exact"/>
        <w:ind w:left="0" w:leftChars="0" w:firstLine="480"/>
        <w:rPr>
          <w:sz w:val="24"/>
          <w:szCs w:val="24"/>
        </w:rPr>
      </w:pPr>
      <w:r>
        <w:rPr>
          <w:rFonts w:hint="eastAsia"/>
          <w:sz w:val="24"/>
          <w:szCs w:val="24"/>
        </w:rPr>
        <w:t>音频压缩采用 AAC(MPEG4 Part3)格式。采样率 48KHz。音频码流率128Kbps(恒定)。必须是双声道及以上，须做混音处理。期编辑制作需按照校方要求进行，并积极补充拍摄镜头，确保制作效果。</w:t>
      </w:r>
    </w:p>
    <w:p>
      <w:pPr>
        <w:pStyle w:val="2"/>
        <w:adjustRightInd w:val="0"/>
        <w:snapToGrid w:val="0"/>
        <w:spacing w:line="440" w:lineRule="exact"/>
        <w:ind w:left="0" w:leftChars="0" w:firstLine="480"/>
        <w:rPr>
          <w:sz w:val="24"/>
          <w:szCs w:val="24"/>
        </w:rPr>
      </w:pPr>
      <w:r>
        <w:rPr>
          <w:sz w:val="24"/>
          <w:szCs w:val="24"/>
        </w:rPr>
        <w:t>4.</w:t>
      </w:r>
      <w:r>
        <w:rPr>
          <w:rFonts w:hint="eastAsia"/>
          <w:sz w:val="24"/>
          <w:szCs w:val="24"/>
        </w:rPr>
        <w:t>在课程制作过程中，要求采集授课教师的电脑端的各种应用程序的操作过程；课程制作设备能够单独采集 PPT，并与摄像机等信号进行导播切换。</w:t>
      </w:r>
    </w:p>
    <w:p>
      <w:pPr>
        <w:pStyle w:val="2"/>
        <w:adjustRightInd w:val="0"/>
        <w:snapToGrid w:val="0"/>
        <w:spacing w:line="440" w:lineRule="exact"/>
        <w:ind w:left="0" w:leftChars="0" w:firstLine="480"/>
        <w:rPr>
          <w:sz w:val="24"/>
          <w:szCs w:val="24"/>
        </w:rPr>
      </w:pPr>
      <w:r>
        <w:rPr>
          <w:sz w:val="24"/>
          <w:szCs w:val="24"/>
        </w:rPr>
        <w:t>5.</w:t>
      </w:r>
      <w:r>
        <w:rPr>
          <w:rFonts w:hint="eastAsia"/>
          <w:sz w:val="24"/>
          <w:szCs w:val="24"/>
        </w:rPr>
        <w:t>为实现情景教学，要求还原现场环境，例如：手机拍摄或其他摄像设备拍摄的 360 度全景照片，导入到课程制作设备中，可以做三维场景使用，主讲人通过抠像技术仿佛置身在现场，并且可以实现摄像机在场景中的推拉摇移、360度选装。</w:t>
      </w:r>
    </w:p>
    <w:p>
      <w:pPr>
        <w:pStyle w:val="2"/>
        <w:adjustRightInd w:val="0"/>
        <w:snapToGrid w:val="0"/>
        <w:spacing w:line="440" w:lineRule="exact"/>
        <w:ind w:left="0" w:leftChars="0" w:firstLine="480"/>
        <w:rPr>
          <w:sz w:val="24"/>
          <w:szCs w:val="24"/>
        </w:rPr>
      </w:pPr>
      <w:r>
        <w:rPr>
          <w:sz w:val="24"/>
          <w:szCs w:val="24"/>
        </w:rPr>
        <w:t>6.</w:t>
      </w:r>
      <w:r>
        <w:rPr>
          <w:rFonts w:hint="eastAsia"/>
          <w:sz w:val="24"/>
          <w:szCs w:val="24"/>
        </w:rPr>
        <w:t>为实现交互课件制作，要求自动人机交互，自动调入三维动画元素、并根据触发不同热点实现三维动画元素的入场、出场等操作。要求课程制作设备支持多通道三维虚拟抠像功能，对同一个老师叠加三个不同的三维虚拟场景，同时三个不同的三维场景可以随时切换，并直播给大屏；且每个三维场景可以实现推拉摇移功能。</w:t>
      </w:r>
    </w:p>
    <w:p>
      <w:pPr>
        <w:pStyle w:val="2"/>
        <w:adjustRightInd w:val="0"/>
        <w:snapToGrid w:val="0"/>
        <w:spacing w:line="440" w:lineRule="exact"/>
        <w:ind w:left="0" w:leftChars="0" w:firstLine="480"/>
        <w:rPr>
          <w:sz w:val="24"/>
          <w:szCs w:val="24"/>
        </w:rPr>
      </w:pPr>
      <w:r>
        <w:rPr>
          <w:sz w:val="24"/>
          <w:szCs w:val="24"/>
        </w:rPr>
        <w:t>7.</w:t>
      </w:r>
      <w:r>
        <w:rPr>
          <w:rFonts w:hint="eastAsia"/>
          <w:sz w:val="24"/>
          <w:szCs w:val="24"/>
        </w:rPr>
        <w:t>具备专业 HD CG/字幕和实时 HD 编辑系统、提供≥200 种字幕模板供现场字幕使用，支持字幕现场实时修改实时上屏功能。拍摄过程中支持移动终端屏幕如 PAD、iPhone 等信号的接入。可以自动控制预置好的素材；热点：每路输入≥8 个自由配置的交互式热点用于宏控制方便针对不同的老师课程进行设置。</w:t>
      </w:r>
    </w:p>
    <w:p>
      <w:pPr>
        <w:pStyle w:val="2"/>
        <w:adjustRightInd w:val="0"/>
        <w:snapToGrid w:val="0"/>
        <w:spacing w:line="440" w:lineRule="exact"/>
        <w:ind w:left="0" w:leftChars="0" w:firstLine="480"/>
        <w:rPr>
          <w:sz w:val="24"/>
          <w:szCs w:val="24"/>
        </w:rPr>
      </w:pPr>
      <w:r>
        <w:rPr>
          <w:sz w:val="24"/>
          <w:szCs w:val="24"/>
        </w:rPr>
        <w:t>8.</w:t>
      </w:r>
      <w:r>
        <w:rPr>
          <w:rFonts w:hint="eastAsia"/>
          <w:sz w:val="24"/>
          <w:szCs w:val="24"/>
        </w:rPr>
        <w:t>根据要求把成品视频转换成高清、标清、网络播放等 AVI、MPEG、MP4、MOV、FLV 格式等。特效包装师使用但不限于 AE、Photoshop、3DMax、Maya 等软件进行视频包装，每门课程的包装数量不低于课程总时长的 70%。</w:t>
      </w:r>
    </w:p>
    <w:p>
      <w:pPr>
        <w:spacing w:line="560" w:lineRule="exact"/>
        <w:ind w:firstLine="480" w:firstLineChars="200"/>
        <w:rPr>
          <w:sz w:val="24"/>
          <w:szCs w:val="24"/>
        </w:rPr>
      </w:pPr>
      <w:r>
        <w:rPr>
          <w:rFonts w:hint="eastAsia"/>
          <w:sz w:val="24"/>
          <w:szCs w:val="24"/>
        </w:rPr>
        <w:t>（十二）课程运行推广</w:t>
      </w:r>
    </w:p>
    <w:p>
      <w:pPr>
        <w:spacing w:line="560" w:lineRule="exact"/>
        <w:ind w:firstLine="480" w:firstLineChars="200"/>
        <w:rPr>
          <w:sz w:val="24"/>
          <w:szCs w:val="24"/>
        </w:rPr>
      </w:pPr>
      <w:r>
        <w:rPr>
          <w:rFonts w:hint="eastAsia" w:hAnsi="宋体" w:cs="宋体"/>
          <w:bCs/>
          <w:sz w:val="24"/>
          <w:szCs w:val="24"/>
        </w:rPr>
        <w:t>★</w:t>
      </w:r>
      <w:r>
        <w:rPr>
          <w:rFonts w:hint="eastAsia"/>
          <w:sz w:val="24"/>
          <w:szCs w:val="24"/>
        </w:rPr>
        <w:t>1</w:t>
      </w:r>
      <w:r>
        <w:rPr>
          <w:sz w:val="24"/>
          <w:szCs w:val="24"/>
        </w:rPr>
        <w:t>.</w:t>
      </w:r>
      <w:r>
        <w:rPr>
          <w:rFonts w:hint="eastAsia"/>
          <w:sz w:val="24"/>
          <w:szCs w:val="24"/>
        </w:rPr>
        <w:t>课程建设完毕后，根据采购人课程建设运行需要，供应商为采购人申报四川省省级课程思政示范课程提供优质技术保障，必须确保拍摄作品按时、按质、按量提交。提供承诺函原件加盖公章，否则不得分。</w:t>
      </w:r>
    </w:p>
    <w:p>
      <w:pPr>
        <w:spacing w:line="560" w:lineRule="exact"/>
        <w:ind w:firstLine="480" w:firstLineChars="200"/>
        <w:rPr>
          <w:sz w:val="24"/>
          <w:szCs w:val="24"/>
        </w:rPr>
      </w:pPr>
      <w:r>
        <w:rPr>
          <w:rFonts w:hint="eastAsia"/>
          <w:sz w:val="24"/>
          <w:szCs w:val="24"/>
        </w:rPr>
        <w:t>2</w:t>
      </w:r>
      <w:r>
        <w:rPr>
          <w:sz w:val="24"/>
          <w:szCs w:val="24"/>
        </w:rPr>
        <w:t>.</w:t>
      </w:r>
      <w:r>
        <w:rPr>
          <w:rFonts w:hint="eastAsia"/>
          <w:sz w:val="24"/>
          <w:szCs w:val="24"/>
        </w:rPr>
        <w:t>H5 页面：平面工程师设计制作 H5 推广页面，包括课程专家团队、课程内容、课程影响力等，推送全国服务工程师进行重点推广。（若课程3 年内未通过省级课程思政示范课程审核，供应商重新提供此项服务）</w:t>
      </w:r>
    </w:p>
    <w:p>
      <w:pPr>
        <w:spacing w:line="560" w:lineRule="exact"/>
        <w:ind w:firstLine="480" w:firstLineChars="200"/>
        <w:rPr>
          <w:sz w:val="24"/>
          <w:szCs w:val="24"/>
        </w:rPr>
      </w:pPr>
      <w:r>
        <w:rPr>
          <w:rFonts w:hint="eastAsia" w:hAnsi="宋体" w:cs="宋体"/>
          <w:bCs/>
          <w:sz w:val="24"/>
          <w:szCs w:val="24"/>
        </w:rPr>
        <w:t>★</w:t>
      </w:r>
      <w:r>
        <w:rPr>
          <w:rFonts w:hint="eastAsia"/>
          <w:sz w:val="24"/>
          <w:szCs w:val="24"/>
        </w:rPr>
        <w:t>3</w:t>
      </w:r>
      <w:r>
        <w:rPr>
          <w:sz w:val="24"/>
          <w:szCs w:val="24"/>
        </w:rPr>
        <w:t>.</w:t>
      </w:r>
      <w:r>
        <w:rPr>
          <w:rFonts w:hint="eastAsia"/>
          <w:sz w:val="24"/>
          <w:szCs w:val="24"/>
        </w:rPr>
        <w:t xml:space="preserve">后期服务要提供1年内为成片做免费的小范围修改、更新（不含补拍）等后续服务。提供承诺函原件加盖公章，否则不得分。 </w:t>
      </w:r>
    </w:p>
    <w:p>
      <w:pPr>
        <w:adjustRightInd w:val="0"/>
        <w:snapToGrid w:val="0"/>
        <w:spacing w:line="440" w:lineRule="exact"/>
        <w:ind w:firstLine="480" w:firstLineChars="200"/>
        <w:rPr>
          <w:rFonts w:hAnsi="宋体" w:cs="宋体"/>
          <w:bCs/>
          <w:sz w:val="24"/>
          <w:szCs w:val="24"/>
        </w:rPr>
      </w:pPr>
      <w:r>
        <w:rPr>
          <w:rFonts w:hint="eastAsia" w:hAnsi="宋体" w:cs="宋体"/>
          <w:bCs/>
          <w:sz w:val="24"/>
          <w:szCs w:val="24"/>
        </w:rPr>
        <w:t>★ （十三）版权要求</w:t>
      </w:r>
    </w:p>
    <w:p>
      <w:pPr>
        <w:adjustRightInd w:val="0"/>
        <w:snapToGrid w:val="0"/>
        <w:spacing w:line="440" w:lineRule="exact"/>
        <w:ind w:firstLine="480" w:firstLineChars="200"/>
        <w:rPr>
          <w:rFonts w:hAnsi="宋体" w:cs="宋体"/>
          <w:bCs/>
          <w:sz w:val="24"/>
          <w:szCs w:val="24"/>
        </w:rPr>
      </w:pPr>
      <w:r>
        <w:rPr>
          <w:rFonts w:hint="eastAsia" w:hAnsi="宋体" w:cs="宋体"/>
          <w:bCs/>
          <w:sz w:val="24"/>
          <w:szCs w:val="24"/>
        </w:rPr>
        <w:t>1</w:t>
      </w:r>
      <w:r>
        <w:rPr>
          <w:rFonts w:hAnsi="宋体" w:cs="宋体"/>
          <w:bCs/>
          <w:sz w:val="24"/>
          <w:szCs w:val="24"/>
        </w:rPr>
        <w:t>.</w:t>
      </w:r>
      <w:r>
        <w:rPr>
          <w:rFonts w:hint="eastAsia" w:hAnsi="宋体" w:cs="宋体"/>
          <w:bCs/>
          <w:sz w:val="24"/>
          <w:szCs w:val="24"/>
        </w:rPr>
        <w:t>制作方在制作时需注意成片中所使用的图片、音视频等素材的版权问题。如出现版权纠纷，所有的法律责任和经济赔偿均由制作方承担。</w:t>
      </w:r>
    </w:p>
    <w:p>
      <w:pPr>
        <w:adjustRightInd w:val="0"/>
        <w:snapToGrid w:val="0"/>
        <w:spacing w:line="440" w:lineRule="exact"/>
        <w:ind w:firstLine="480" w:firstLineChars="200"/>
        <w:rPr>
          <w:rFonts w:hAnsi="宋体" w:cs="宋体"/>
          <w:bCs/>
          <w:sz w:val="24"/>
          <w:szCs w:val="24"/>
        </w:rPr>
      </w:pPr>
      <w:r>
        <w:rPr>
          <w:rFonts w:hint="eastAsia" w:hAnsi="宋体" w:cs="宋体"/>
          <w:bCs/>
          <w:sz w:val="24"/>
          <w:szCs w:val="24"/>
        </w:rPr>
        <w:t>2</w:t>
      </w:r>
      <w:r>
        <w:rPr>
          <w:rFonts w:hAnsi="宋体" w:cs="宋体"/>
          <w:bCs/>
          <w:sz w:val="24"/>
          <w:szCs w:val="24"/>
        </w:rPr>
        <w:t>.</w:t>
      </w:r>
      <w:r>
        <w:rPr>
          <w:rFonts w:hint="eastAsia" w:hAnsi="宋体" w:cs="宋体"/>
          <w:bCs/>
          <w:sz w:val="24"/>
          <w:szCs w:val="24"/>
        </w:rPr>
        <w:t>制作方对授课案例中的当事人肖像权、隐私等采取适当技术手段处理。如出现侵权纠纷，所有的法律责任和经济赔偿均由制作方承担。</w:t>
      </w:r>
    </w:p>
    <w:p>
      <w:pPr>
        <w:adjustRightInd w:val="0"/>
        <w:snapToGrid w:val="0"/>
        <w:spacing w:line="440" w:lineRule="exact"/>
        <w:ind w:firstLine="480" w:firstLineChars="200"/>
        <w:rPr>
          <w:rFonts w:hAnsi="宋体" w:cs="宋体"/>
          <w:bCs/>
          <w:sz w:val="24"/>
          <w:szCs w:val="24"/>
        </w:rPr>
      </w:pPr>
      <w:r>
        <w:rPr>
          <w:rFonts w:hint="eastAsia" w:hAnsi="宋体" w:cs="宋体"/>
          <w:bCs/>
          <w:sz w:val="24"/>
          <w:szCs w:val="24"/>
        </w:rPr>
        <w:t>3</w:t>
      </w:r>
      <w:r>
        <w:rPr>
          <w:rFonts w:hAnsi="宋体" w:cs="宋体"/>
          <w:bCs/>
          <w:sz w:val="24"/>
          <w:szCs w:val="24"/>
        </w:rPr>
        <w:t>.</w:t>
      </w:r>
      <w:r>
        <w:rPr>
          <w:rFonts w:hint="eastAsia" w:hAnsi="宋体" w:cs="宋体"/>
          <w:bCs/>
          <w:sz w:val="24"/>
          <w:szCs w:val="24"/>
        </w:rPr>
        <w:t>所有制作完成的课程成品，其版权归四川铁道职业学院所有，未经允许，任何单位和个人不得进行商业传播。</w:t>
      </w:r>
    </w:p>
    <w:p>
      <w:pPr>
        <w:adjustRightInd w:val="0"/>
        <w:snapToGrid w:val="0"/>
        <w:spacing w:line="440" w:lineRule="exact"/>
        <w:ind w:firstLine="480" w:firstLineChars="200"/>
        <w:rPr>
          <w:rFonts w:hAnsi="宋体" w:cs="宋体"/>
          <w:bCs/>
          <w:sz w:val="24"/>
          <w:szCs w:val="24"/>
        </w:rPr>
      </w:pPr>
      <w:r>
        <w:rPr>
          <w:rFonts w:hint="eastAsia" w:hAnsi="宋体" w:cs="宋体"/>
          <w:bCs/>
          <w:sz w:val="24"/>
          <w:szCs w:val="24"/>
        </w:rPr>
        <w:t>4</w:t>
      </w:r>
      <w:r>
        <w:rPr>
          <w:rFonts w:hAnsi="宋体" w:cs="宋体"/>
          <w:bCs/>
          <w:sz w:val="24"/>
          <w:szCs w:val="24"/>
        </w:rPr>
        <w:t>.</w:t>
      </w:r>
      <w:r>
        <w:rPr>
          <w:rFonts w:hint="eastAsia" w:hAnsi="宋体" w:cs="宋体"/>
          <w:bCs/>
          <w:sz w:val="24"/>
          <w:szCs w:val="24"/>
        </w:rPr>
        <w:t>所有资料提供出处并在片尾声明。</w:t>
      </w:r>
    </w:p>
    <w:p>
      <w:pPr>
        <w:adjustRightInd w:val="0"/>
        <w:snapToGrid w:val="0"/>
        <w:spacing w:line="440" w:lineRule="exact"/>
        <w:ind w:left="485"/>
        <w:rPr>
          <w:rFonts w:hAnsi="宋体" w:cs="宋体"/>
          <w:bCs/>
          <w:sz w:val="24"/>
          <w:szCs w:val="24"/>
        </w:rPr>
      </w:pPr>
      <w:r>
        <w:rPr>
          <w:rFonts w:hint="eastAsia" w:hAnsi="宋体" w:cs="宋体"/>
          <w:bCs/>
          <w:sz w:val="24"/>
          <w:szCs w:val="24"/>
        </w:rPr>
        <w:t>（十四）其他要求</w:t>
      </w:r>
    </w:p>
    <w:p>
      <w:pPr>
        <w:adjustRightInd w:val="0"/>
        <w:snapToGrid w:val="0"/>
        <w:spacing w:line="440" w:lineRule="exact"/>
        <w:ind w:firstLine="480" w:firstLineChars="200"/>
        <w:rPr>
          <w:rFonts w:hAnsi="宋体" w:cs="宋体"/>
          <w:bCs/>
          <w:sz w:val="24"/>
          <w:szCs w:val="24"/>
        </w:rPr>
      </w:pPr>
      <w:r>
        <w:rPr>
          <w:rFonts w:hAnsi="宋体" w:cs="宋体"/>
          <w:bCs/>
          <w:sz w:val="24"/>
          <w:szCs w:val="24"/>
        </w:rPr>
        <w:t>1.</w:t>
      </w:r>
      <w:r>
        <w:rPr>
          <w:rFonts w:hint="eastAsia" w:hAnsi="宋体" w:cs="宋体"/>
          <w:bCs/>
          <w:sz w:val="24"/>
          <w:szCs w:val="24"/>
        </w:rPr>
        <w:t>投标人须展示课程制作的工作进度表范例，供招标人检查督促时间进度和工作内容及质量。</w:t>
      </w:r>
    </w:p>
    <w:p>
      <w:pPr>
        <w:adjustRightInd w:val="0"/>
        <w:snapToGrid w:val="0"/>
        <w:spacing w:line="440" w:lineRule="exact"/>
        <w:ind w:firstLine="480" w:firstLineChars="200"/>
        <w:rPr>
          <w:rFonts w:hAnsi="宋体" w:cs="宋体"/>
          <w:bCs/>
          <w:sz w:val="24"/>
          <w:szCs w:val="24"/>
        </w:rPr>
      </w:pPr>
      <w:r>
        <w:rPr>
          <w:rFonts w:hAnsi="宋体" w:cs="宋体"/>
          <w:bCs/>
          <w:sz w:val="24"/>
          <w:szCs w:val="24"/>
        </w:rPr>
        <w:t>2.</w:t>
      </w:r>
      <w:r>
        <w:rPr>
          <w:rFonts w:hint="eastAsia" w:hAnsi="宋体" w:cs="宋体"/>
          <w:bCs/>
          <w:sz w:val="24"/>
          <w:szCs w:val="24"/>
        </w:rPr>
        <w:t>成交后，课程制作方 10 日内须要召开项目启动会，进行课程服务的全面对接，保证安排课程运营、服务人员一对一服务于课程团队。</w:t>
      </w:r>
    </w:p>
    <w:p>
      <w:pPr>
        <w:spacing w:line="440" w:lineRule="exact"/>
        <w:ind w:firstLine="482" w:firstLineChars="200"/>
        <w:rPr>
          <w:rFonts w:hAnsi="宋体" w:cs="宋体"/>
          <w:b/>
          <w:bCs/>
          <w:sz w:val="24"/>
          <w:szCs w:val="24"/>
        </w:rPr>
      </w:pPr>
      <w:r>
        <w:rPr>
          <w:rFonts w:hint="eastAsia" w:hAnsi="宋体" w:cs="宋体"/>
          <w:b/>
          <w:bCs/>
          <w:sz w:val="24"/>
          <w:szCs w:val="24"/>
        </w:rPr>
        <w:t>三、商务要求</w:t>
      </w:r>
    </w:p>
    <w:p>
      <w:pPr>
        <w:adjustRightInd w:val="0"/>
        <w:snapToGrid w:val="0"/>
        <w:spacing w:line="440" w:lineRule="exact"/>
        <w:ind w:firstLine="480" w:firstLineChars="200"/>
        <w:rPr>
          <w:rFonts w:hAnsi="宋体" w:cs="宋体"/>
          <w:bCs/>
          <w:sz w:val="24"/>
          <w:szCs w:val="24"/>
        </w:rPr>
      </w:pPr>
      <w:r>
        <w:rPr>
          <w:rFonts w:hint="eastAsia" w:hAnsi="宋体" w:cs="宋体"/>
          <w:bCs/>
          <w:sz w:val="24"/>
          <w:szCs w:val="24"/>
        </w:rPr>
        <w:t>1</w:t>
      </w:r>
      <w:r>
        <w:rPr>
          <w:rFonts w:hAnsi="宋体" w:cs="宋体"/>
          <w:bCs/>
          <w:sz w:val="24"/>
          <w:szCs w:val="24"/>
        </w:rPr>
        <w:t>.</w:t>
      </w:r>
      <w:r>
        <w:rPr>
          <w:rFonts w:hint="eastAsia" w:hAnsi="宋体" w:cs="宋体"/>
          <w:bCs/>
          <w:sz w:val="24"/>
          <w:szCs w:val="24"/>
        </w:rPr>
        <w:t>课程验收。课程制作完成后，采购方将对最终成品进行验收，测试验收时间为2个工作日。</w:t>
      </w:r>
    </w:p>
    <w:p>
      <w:pPr>
        <w:spacing w:line="440" w:lineRule="exact"/>
        <w:ind w:firstLine="480" w:firstLineChars="200"/>
        <w:rPr>
          <w:rFonts w:hAnsi="宋体" w:cs="宋体"/>
          <w:bCs/>
          <w:sz w:val="24"/>
          <w:szCs w:val="24"/>
        </w:rPr>
      </w:pPr>
      <w:r>
        <w:rPr>
          <w:rFonts w:hAnsi="宋体" w:cs="宋体"/>
          <w:bCs/>
          <w:sz w:val="24"/>
          <w:szCs w:val="24"/>
        </w:rPr>
        <w:t>2</w:t>
      </w:r>
      <w:r>
        <w:rPr>
          <w:rFonts w:hint="eastAsia" w:hAnsi="宋体" w:cs="宋体"/>
          <w:bCs/>
          <w:sz w:val="24"/>
          <w:szCs w:val="24"/>
        </w:rPr>
        <w:t>.服务期限：在合同签订后 1.5 个月内完成课程视频拍摄且验收合格、提交成品，质保期自验收合格之日起生效，时间为 5年。</w:t>
      </w:r>
    </w:p>
    <w:p>
      <w:pPr>
        <w:adjustRightInd w:val="0"/>
        <w:snapToGrid w:val="0"/>
        <w:spacing w:line="440" w:lineRule="exact"/>
        <w:ind w:left="485"/>
        <w:rPr>
          <w:rFonts w:hAnsi="宋体" w:cs="宋体"/>
          <w:bCs/>
          <w:sz w:val="24"/>
          <w:szCs w:val="24"/>
        </w:rPr>
      </w:pPr>
      <w:r>
        <w:rPr>
          <w:rFonts w:hAnsi="宋体" w:cs="宋体"/>
          <w:bCs/>
          <w:sz w:val="24"/>
          <w:szCs w:val="24"/>
        </w:rPr>
        <w:t>3</w:t>
      </w:r>
      <w:r>
        <w:rPr>
          <w:rFonts w:hint="eastAsia" w:hAnsi="宋体" w:cs="宋体"/>
          <w:bCs/>
          <w:sz w:val="24"/>
          <w:szCs w:val="24"/>
        </w:rPr>
        <w:t>.服务地点：采购人指定地点。</w:t>
      </w:r>
    </w:p>
    <w:p>
      <w:pPr>
        <w:adjustRightInd w:val="0"/>
        <w:snapToGrid w:val="0"/>
        <w:spacing w:line="440" w:lineRule="exact"/>
        <w:ind w:firstLine="480" w:firstLineChars="200"/>
        <w:rPr>
          <w:rFonts w:hAnsi="宋体" w:cs="宋体"/>
          <w:bCs/>
          <w:sz w:val="24"/>
          <w:szCs w:val="24"/>
        </w:rPr>
      </w:pPr>
      <w:r>
        <w:rPr>
          <w:rFonts w:hAnsi="宋体" w:cs="宋体"/>
          <w:bCs/>
          <w:sz w:val="24"/>
          <w:szCs w:val="24"/>
        </w:rPr>
        <w:t>4</w:t>
      </w:r>
      <w:r>
        <w:rPr>
          <w:rFonts w:hint="eastAsia" w:hAnsi="宋体" w:cs="宋体"/>
          <w:bCs/>
          <w:sz w:val="24"/>
          <w:szCs w:val="24"/>
        </w:rPr>
        <w:t>.付款方式：合同签订后 10 个工作日内，支付合同金额 60%作为预付款；作品按时提交后，支付合同总金额的 40%。</w:t>
      </w:r>
    </w:p>
    <w:p>
      <w:pPr>
        <w:adjustRightInd w:val="0"/>
        <w:snapToGrid w:val="0"/>
        <w:spacing w:line="440" w:lineRule="exact"/>
        <w:ind w:left="485"/>
        <w:rPr>
          <w:rFonts w:hAnsi="宋体" w:cs="宋体"/>
          <w:b/>
          <w:bCs/>
          <w:sz w:val="24"/>
          <w:szCs w:val="24"/>
        </w:rPr>
      </w:pPr>
      <w:r>
        <w:rPr>
          <w:rFonts w:hint="eastAsia" w:hAnsi="宋体" w:cs="宋体"/>
          <w:b/>
          <w:bCs/>
          <w:sz w:val="24"/>
          <w:szCs w:val="24"/>
        </w:rPr>
        <w:t>注意：1、“★”条款为实质性要求，不允许负偏离，否则其响应文件作无效处理。</w:t>
      </w:r>
    </w:p>
    <w:p>
      <w:pPr>
        <w:pStyle w:val="5"/>
        <w:adjustRightInd w:val="0"/>
        <w:snapToGrid w:val="0"/>
        <w:spacing w:before="0" w:after="0" w:line="440" w:lineRule="exact"/>
        <w:ind w:firstLine="723" w:firstLineChars="300"/>
        <w:rPr>
          <w:rFonts w:ascii="宋体" w:hAnsi="宋体" w:eastAsia="宋体" w:cs="宋体"/>
          <w:bCs/>
          <w:sz w:val="24"/>
          <w:szCs w:val="24"/>
        </w:rPr>
      </w:pPr>
      <w:r>
        <w:rPr>
          <w:rFonts w:hint="eastAsia" w:ascii="宋体" w:hAnsi="宋体" w:eastAsia="宋体" w:cs="宋体"/>
          <w:bCs/>
          <w:sz w:val="24"/>
          <w:szCs w:val="24"/>
        </w:rPr>
        <w:t>2、本次项目不接受联合体投标；本次项目不得转包、分包。</w:t>
      </w:r>
    </w:p>
    <w:p>
      <w:pPr>
        <w:rPr>
          <w:rFonts w:hAnsi="宋体" w:cs="宋体"/>
          <w:b/>
          <w:bCs/>
          <w:sz w:val="24"/>
          <w:szCs w:val="24"/>
        </w:rPr>
      </w:pPr>
      <w:r>
        <w:rPr>
          <w:rFonts w:hint="eastAsia" w:hAnsi="宋体" w:cs="宋体"/>
          <w:b/>
          <w:bCs/>
          <w:sz w:val="24"/>
          <w:szCs w:val="24"/>
        </w:rPr>
        <w:br w:type="page"/>
      </w:r>
    </w:p>
    <w:p>
      <w:pPr>
        <w:adjustRightInd w:val="0"/>
        <w:snapToGrid w:val="0"/>
        <w:spacing w:line="360" w:lineRule="auto"/>
        <w:ind w:firstLine="710" w:firstLineChars="188"/>
        <w:jc w:val="center"/>
        <w:rPr>
          <w:rFonts w:hAnsi="宋体"/>
          <w:b/>
          <w:spacing w:val="8"/>
          <w:sz w:val="36"/>
          <w:szCs w:val="36"/>
        </w:rPr>
      </w:pPr>
    </w:p>
    <w:p>
      <w:pPr>
        <w:adjustRightInd w:val="0"/>
        <w:snapToGrid w:val="0"/>
        <w:spacing w:line="360" w:lineRule="auto"/>
        <w:ind w:firstLine="710" w:firstLineChars="188"/>
        <w:jc w:val="center"/>
        <w:rPr>
          <w:rFonts w:hAnsi="宋体"/>
          <w:b/>
          <w:spacing w:val="8"/>
          <w:sz w:val="36"/>
          <w:szCs w:val="36"/>
        </w:rPr>
      </w:pPr>
      <w:r>
        <w:rPr>
          <w:rFonts w:hint="eastAsia" w:hAnsi="宋体"/>
          <w:b/>
          <w:spacing w:val="8"/>
          <w:sz w:val="36"/>
          <w:szCs w:val="36"/>
        </w:rPr>
        <w:t>第五章 评标办法</w:t>
      </w:r>
    </w:p>
    <w:p>
      <w:pPr>
        <w:adjustRightInd w:val="0"/>
        <w:snapToGrid w:val="0"/>
        <w:spacing w:line="360" w:lineRule="auto"/>
        <w:ind w:firstLine="480" w:firstLineChars="200"/>
        <w:jc w:val="left"/>
        <w:rPr>
          <w:rFonts w:hAnsi="宋体"/>
          <w:color w:val="000000"/>
          <w:sz w:val="24"/>
        </w:rPr>
      </w:pPr>
    </w:p>
    <w:p>
      <w:pPr>
        <w:adjustRightInd w:val="0"/>
        <w:snapToGrid w:val="0"/>
        <w:spacing w:line="440" w:lineRule="exact"/>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440" w:lineRule="exact"/>
        <w:ind w:firstLine="480" w:firstLineChars="20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440" w:lineRule="exact"/>
        <w:ind w:firstLine="480" w:firstLineChars="200"/>
        <w:jc w:val="left"/>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440" w:lineRule="exact"/>
        <w:ind w:firstLine="480" w:firstLineChars="200"/>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分。各投标人各方面的所有评价指标得分之和为该投标人的综合得分。</w:t>
      </w:r>
    </w:p>
    <w:p>
      <w:pPr>
        <w:adjustRightInd w:val="0"/>
        <w:snapToGrid w:val="0"/>
        <w:spacing w:line="440" w:lineRule="exact"/>
        <w:ind w:firstLine="480" w:firstLineChars="200"/>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tbl>
      <w:tblPr>
        <w:tblStyle w:val="20"/>
        <w:tblpPr w:leftFromText="180" w:rightFromText="180" w:vertAnchor="text" w:horzAnchor="page" w:tblpX="1086" w:tblpY="568"/>
        <w:tblOverlap w:val="never"/>
        <w:tblW w:w="96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1883"/>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727" w:type="dxa"/>
            <w:vAlign w:val="center"/>
          </w:tcPr>
          <w:p>
            <w:pPr>
              <w:pStyle w:val="78"/>
              <w:adjustRightInd w:val="0"/>
              <w:snapToGrid w:val="0"/>
              <w:jc w:val="center"/>
              <w:rPr>
                <w:rFonts w:ascii="宋体" w:hAnsi="宋体" w:cs="宋体"/>
                <w:sz w:val="24"/>
              </w:rPr>
            </w:pPr>
            <w:r>
              <w:rPr>
                <w:rFonts w:hint="eastAsia" w:ascii="宋体" w:hAnsi="宋体" w:cs="宋体"/>
                <w:sz w:val="24"/>
              </w:rPr>
              <w:t>序号</w:t>
            </w:r>
          </w:p>
        </w:tc>
        <w:tc>
          <w:tcPr>
            <w:tcW w:w="1883" w:type="dxa"/>
            <w:vAlign w:val="center"/>
          </w:tcPr>
          <w:p>
            <w:pPr>
              <w:pStyle w:val="78"/>
              <w:adjustRightInd w:val="0"/>
              <w:snapToGrid w:val="0"/>
              <w:jc w:val="center"/>
              <w:rPr>
                <w:rFonts w:ascii="宋体" w:hAnsi="宋体" w:cs="宋体"/>
                <w:sz w:val="24"/>
              </w:rPr>
            </w:pPr>
            <w:r>
              <w:rPr>
                <w:rFonts w:hint="eastAsia" w:ascii="宋体" w:hAnsi="宋体" w:cs="宋体"/>
                <w:sz w:val="24"/>
              </w:rPr>
              <w:t>评分项目及分值</w:t>
            </w:r>
          </w:p>
        </w:tc>
        <w:tc>
          <w:tcPr>
            <w:tcW w:w="7089" w:type="dxa"/>
            <w:vAlign w:val="center"/>
          </w:tcPr>
          <w:p>
            <w:pPr>
              <w:pStyle w:val="78"/>
              <w:adjustRightInd w:val="0"/>
              <w:snapToGrid w:val="0"/>
              <w:jc w:val="center"/>
              <w:rPr>
                <w:rFonts w:ascii="宋体" w:hAnsi="宋体" w:cs="宋体"/>
                <w:sz w:val="24"/>
              </w:rPr>
            </w:pPr>
            <w:r>
              <w:rPr>
                <w:rFonts w:hint="eastAsia" w:ascii="宋体" w:hAnsi="宋体" w:cs="宋体"/>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727" w:type="dxa"/>
            <w:vAlign w:val="center"/>
          </w:tcPr>
          <w:p>
            <w:pPr>
              <w:pStyle w:val="78"/>
              <w:adjustRightInd w:val="0"/>
              <w:snapToGrid w:val="0"/>
              <w:jc w:val="center"/>
              <w:rPr>
                <w:rFonts w:ascii="宋体" w:hAnsi="宋体" w:cs="宋体"/>
                <w:sz w:val="24"/>
              </w:rPr>
            </w:pPr>
            <w:r>
              <w:rPr>
                <w:rFonts w:hint="eastAsia" w:ascii="宋体" w:hAnsi="宋体" w:cs="宋体"/>
                <w:sz w:val="24"/>
              </w:rPr>
              <w:t>1</w:t>
            </w:r>
          </w:p>
        </w:tc>
        <w:tc>
          <w:tcPr>
            <w:tcW w:w="1883" w:type="dxa"/>
            <w:vAlign w:val="center"/>
          </w:tcPr>
          <w:p>
            <w:pPr>
              <w:pStyle w:val="78"/>
              <w:adjustRightInd w:val="0"/>
              <w:snapToGrid w:val="0"/>
              <w:jc w:val="center"/>
              <w:rPr>
                <w:rFonts w:ascii="宋体" w:hAnsi="宋体" w:cs="宋体"/>
                <w:sz w:val="24"/>
              </w:rPr>
            </w:pPr>
            <w:r>
              <w:rPr>
                <w:rFonts w:hint="eastAsia" w:ascii="宋体" w:hAnsi="宋体" w:cs="宋体"/>
                <w:sz w:val="24"/>
              </w:rPr>
              <w:t>报价</w:t>
            </w:r>
          </w:p>
          <w:p>
            <w:pPr>
              <w:pStyle w:val="78"/>
              <w:adjustRightInd w:val="0"/>
              <w:snapToGrid w:val="0"/>
              <w:jc w:val="center"/>
              <w:rPr>
                <w:rFonts w:ascii="宋体" w:hAnsi="宋体" w:cs="宋体"/>
                <w:sz w:val="24"/>
              </w:rPr>
            </w:pPr>
            <w:r>
              <w:rPr>
                <w:rFonts w:hint="eastAsia" w:ascii="宋体" w:hAnsi="宋体" w:cs="宋体"/>
                <w:sz w:val="24"/>
              </w:rPr>
              <w:t>（共</w:t>
            </w:r>
            <w:r>
              <w:rPr>
                <w:rFonts w:ascii="宋体" w:hAnsi="宋体" w:cs="宋体"/>
                <w:sz w:val="24"/>
              </w:rPr>
              <w:t>10</w:t>
            </w:r>
            <w:r>
              <w:rPr>
                <w:rFonts w:hint="eastAsia" w:ascii="宋体" w:hAnsi="宋体" w:cs="宋体"/>
                <w:sz w:val="24"/>
              </w:rPr>
              <w:t>分）</w:t>
            </w:r>
          </w:p>
        </w:tc>
        <w:tc>
          <w:tcPr>
            <w:tcW w:w="7089" w:type="dxa"/>
          </w:tcPr>
          <w:p>
            <w:pPr>
              <w:pStyle w:val="78"/>
              <w:tabs>
                <w:tab w:val="left" w:pos="350"/>
              </w:tabs>
              <w:spacing w:before="6" w:line="440" w:lineRule="exact"/>
              <w:ind w:firstLine="480"/>
              <w:rPr>
                <w:rFonts w:ascii="宋体" w:hAnsi="宋体" w:cs="宋体"/>
                <w:sz w:val="24"/>
              </w:rPr>
            </w:pPr>
            <w:r>
              <w:rPr>
                <w:rFonts w:hint="eastAsia" w:ascii="宋体" w:hAnsi="宋体" w:cs="宋体"/>
                <w:sz w:val="24"/>
              </w:rPr>
              <w:t>1.满足招标文件要求且投标价格最低的投标报价为评标基准价，其价格分为满分。其他投标人的价格分统一按照下列公式计算：投标报价得分=(评标基准价／投标报价)×100</w:t>
            </w:r>
          </w:p>
          <w:p>
            <w:pPr>
              <w:pStyle w:val="78"/>
              <w:tabs>
                <w:tab w:val="left" w:pos="350"/>
              </w:tabs>
              <w:spacing w:before="6" w:line="440" w:lineRule="exact"/>
              <w:ind w:firstLine="480"/>
              <w:rPr>
                <w:rFonts w:ascii="宋体" w:hAnsi="宋体" w:cs="宋体"/>
                <w:sz w:val="24"/>
              </w:rPr>
            </w:pPr>
            <w:r>
              <w:rPr>
                <w:rFonts w:hint="eastAsia" w:ascii="宋体" w:hAnsi="宋体" w:cs="宋体"/>
                <w:sz w:val="24"/>
              </w:rPr>
              <w:t>2.报价最终得分=投标报价得分×权重。评分的取值按四舍五入法，保留小数点后两位。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727" w:type="dxa"/>
            <w:vAlign w:val="center"/>
          </w:tcPr>
          <w:p>
            <w:pPr>
              <w:pStyle w:val="78"/>
              <w:adjustRightInd w:val="0"/>
              <w:snapToGrid w:val="0"/>
              <w:jc w:val="center"/>
              <w:rPr>
                <w:rFonts w:ascii="宋体" w:hAnsi="宋体" w:cs="宋体"/>
                <w:sz w:val="24"/>
              </w:rPr>
            </w:pPr>
            <w:r>
              <w:rPr>
                <w:rFonts w:hint="eastAsia" w:ascii="宋体" w:hAnsi="宋体" w:cs="宋体"/>
                <w:sz w:val="24"/>
              </w:rPr>
              <w:t>2</w:t>
            </w:r>
          </w:p>
        </w:tc>
        <w:tc>
          <w:tcPr>
            <w:tcW w:w="1883" w:type="dxa"/>
            <w:vAlign w:val="center"/>
          </w:tcPr>
          <w:p>
            <w:pPr>
              <w:pStyle w:val="78"/>
              <w:adjustRightInd w:val="0"/>
              <w:snapToGrid w:val="0"/>
              <w:jc w:val="center"/>
              <w:rPr>
                <w:rFonts w:ascii="宋体" w:hAnsi="宋体" w:cs="宋体"/>
                <w:sz w:val="28"/>
                <w:szCs w:val="28"/>
              </w:rPr>
            </w:pPr>
            <w:r>
              <w:rPr>
                <w:rFonts w:hint="eastAsia" w:ascii="宋体" w:hAnsi="宋体" w:cs="宋体"/>
                <w:sz w:val="24"/>
              </w:rPr>
              <w:t>业绩（共</w:t>
            </w:r>
            <w:r>
              <w:rPr>
                <w:rFonts w:ascii="宋体" w:hAnsi="宋体" w:cs="宋体"/>
                <w:sz w:val="24"/>
              </w:rPr>
              <w:t>8</w:t>
            </w:r>
            <w:r>
              <w:rPr>
                <w:rFonts w:hint="eastAsia" w:ascii="宋体" w:hAnsi="宋体" w:cs="宋体"/>
                <w:sz w:val="24"/>
              </w:rPr>
              <w:t>分）</w:t>
            </w:r>
          </w:p>
        </w:tc>
        <w:tc>
          <w:tcPr>
            <w:tcW w:w="7089" w:type="dxa"/>
          </w:tcPr>
          <w:p>
            <w:pPr>
              <w:spacing w:line="480" w:lineRule="exact"/>
              <w:ind w:firstLine="480" w:firstLineChars="200"/>
              <w:rPr>
                <w:rFonts w:hAnsi="宋体" w:cs="宋体"/>
                <w:sz w:val="28"/>
                <w:szCs w:val="28"/>
              </w:rPr>
            </w:pPr>
            <w:r>
              <w:rPr>
                <w:rFonts w:hint="eastAsia" w:hAnsi="宋体" w:cs="宋体"/>
                <w:kern w:val="2"/>
                <w:sz w:val="24"/>
                <w:szCs w:val="24"/>
              </w:rPr>
              <w:t>供应商提供参与制作的省级课程思政示范课视频，并提供示范课程推广平台链接，每提供一个省级课程思政示范课推广平台链接得</w:t>
            </w:r>
            <w:r>
              <w:rPr>
                <w:rFonts w:hAnsi="宋体" w:cs="宋体"/>
                <w:kern w:val="2"/>
                <w:sz w:val="24"/>
                <w:szCs w:val="24"/>
              </w:rPr>
              <w:t>1.5</w:t>
            </w:r>
            <w:r>
              <w:rPr>
                <w:rFonts w:hint="eastAsia" w:hAnsi="宋体" w:cs="宋体"/>
                <w:kern w:val="2"/>
                <w:sz w:val="24"/>
                <w:szCs w:val="24"/>
              </w:rPr>
              <w:t>分，最多得</w:t>
            </w:r>
            <w:r>
              <w:rPr>
                <w:rFonts w:hAnsi="宋体" w:cs="宋体"/>
                <w:kern w:val="2"/>
                <w:sz w:val="24"/>
                <w:szCs w:val="24"/>
              </w:rPr>
              <w:t>3</w:t>
            </w:r>
            <w:r>
              <w:rPr>
                <w:rFonts w:hint="eastAsia" w:hAnsi="宋体" w:cs="宋体"/>
                <w:kern w:val="2"/>
                <w:sz w:val="24"/>
                <w:szCs w:val="24"/>
              </w:rPr>
              <w:t>分；或提供一个国家级课程思政示范课程链接得</w:t>
            </w:r>
            <w:r>
              <w:rPr>
                <w:rFonts w:hAnsi="宋体" w:cs="宋体"/>
                <w:kern w:val="2"/>
                <w:sz w:val="24"/>
                <w:szCs w:val="24"/>
              </w:rPr>
              <w:t>2.5</w:t>
            </w:r>
            <w:r>
              <w:rPr>
                <w:rFonts w:hint="eastAsia" w:hAnsi="宋体" w:cs="宋体"/>
                <w:kern w:val="2"/>
                <w:sz w:val="24"/>
                <w:szCs w:val="24"/>
              </w:rPr>
              <w:t>分。满分</w:t>
            </w:r>
            <w:r>
              <w:rPr>
                <w:rFonts w:hAnsi="宋体" w:cs="宋体"/>
                <w:kern w:val="2"/>
                <w:sz w:val="24"/>
                <w:szCs w:val="24"/>
              </w:rPr>
              <w:t>5</w:t>
            </w:r>
            <w:r>
              <w:rPr>
                <w:rFonts w:hint="eastAsia" w:hAnsi="宋体" w:cs="宋体"/>
                <w:kern w:val="2"/>
                <w:sz w:val="24"/>
                <w:szCs w:val="24"/>
              </w:rPr>
              <w:t>分。未提供平台链接不得分。（平台链接页面需截图打印加盖公章）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727" w:type="dxa"/>
            <w:vMerge w:val="restart"/>
            <w:vAlign w:val="center"/>
          </w:tcPr>
          <w:p>
            <w:pPr>
              <w:pStyle w:val="78"/>
              <w:adjustRightInd w:val="0"/>
              <w:snapToGrid w:val="0"/>
              <w:jc w:val="center"/>
              <w:rPr>
                <w:rFonts w:ascii="宋体" w:hAnsi="宋体" w:cs="宋体"/>
                <w:sz w:val="24"/>
              </w:rPr>
            </w:pPr>
            <w:r>
              <w:rPr>
                <w:rFonts w:ascii="宋体" w:hAnsi="宋体" w:cs="宋体"/>
                <w:sz w:val="24"/>
              </w:rPr>
              <w:t>3</w:t>
            </w:r>
          </w:p>
        </w:tc>
        <w:tc>
          <w:tcPr>
            <w:tcW w:w="1883" w:type="dxa"/>
            <w:vAlign w:val="center"/>
          </w:tcPr>
          <w:p>
            <w:pPr>
              <w:pStyle w:val="78"/>
              <w:adjustRightInd w:val="0"/>
              <w:snapToGrid w:val="0"/>
              <w:jc w:val="center"/>
              <w:rPr>
                <w:rFonts w:ascii="宋体" w:hAnsi="宋体" w:cs="宋体"/>
                <w:sz w:val="24"/>
              </w:rPr>
            </w:pPr>
            <w:r>
              <w:rPr>
                <w:rFonts w:hint="eastAsia" w:ascii="宋体" w:hAnsi="宋体" w:cs="宋体"/>
                <w:sz w:val="24"/>
              </w:rPr>
              <w:t>技术及服务指标（</w:t>
            </w:r>
            <w:r>
              <w:rPr>
                <w:rFonts w:ascii="宋体" w:hAnsi="宋体" w:cs="宋体"/>
                <w:sz w:val="24"/>
              </w:rPr>
              <w:t>4</w:t>
            </w:r>
            <w:r>
              <w:rPr>
                <w:rFonts w:hint="eastAsia" w:ascii="宋体" w:hAnsi="宋体" w:cs="宋体"/>
                <w:sz w:val="24"/>
              </w:rPr>
              <w:t>0分）</w:t>
            </w:r>
          </w:p>
        </w:tc>
        <w:tc>
          <w:tcPr>
            <w:tcW w:w="7089" w:type="dxa"/>
          </w:tcPr>
          <w:p>
            <w:pPr>
              <w:widowControl/>
              <w:spacing w:line="400" w:lineRule="exact"/>
              <w:ind w:firstLine="480" w:firstLineChars="200"/>
              <w:rPr>
                <w:rFonts w:hAnsi="宋体" w:cs="宋体"/>
                <w:kern w:val="2"/>
                <w:sz w:val="24"/>
                <w:szCs w:val="24"/>
              </w:rPr>
            </w:pPr>
            <w:r>
              <w:rPr>
                <w:rFonts w:hint="eastAsia" w:hAnsi="宋体" w:cs="宋体"/>
                <w:kern w:val="2"/>
                <w:sz w:val="24"/>
                <w:szCs w:val="24"/>
              </w:rPr>
              <w:t>1.完全满足技术、服务内容得</w:t>
            </w:r>
            <w:r>
              <w:rPr>
                <w:rFonts w:hAnsi="宋体" w:cs="宋体"/>
                <w:kern w:val="2"/>
                <w:sz w:val="24"/>
                <w:szCs w:val="24"/>
              </w:rPr>
              <w:t>36</w:t>
            </w:r>
            <w:r>
              <w:rPr>
                <w:rFonts w:hint="eastAsia" w:hAnsi="宋体" w:cs="宋体"/>
                <w:kern w:val="2"/>
                <w:sz w:val="24"/>
                <w:szCs w:val="24"/>
              </w:rPr>
              <w:t>分；每有一项非“★”条款每个不满足者扣1分，直至本项分值扣完为止。</w:t>
            </w:r>
          </w:p>
          <w:p>
            <w:pPr>
              <w:pStyle w:val="78"/>
              <w:tabs>
                <w:tab w:val="left" w:pos="350"/>
              </w:tabs>
              <w:spacing w:before="6" w:line="44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.投标人承诺能够满足“（十四）其他要求”得</w:t>
            </w:r>
            <w:r>
              <w:rPr>
                <w:rFonts w:ascii="宋体" w:hAnsi="宋体" w:cs="宋体"/>
                <w:sz w:val="24"/>
              </w:rPr>
              <w:t>4</w:t>
            </w:r>
            <w:r>
              <w:rPr>
                <w:rFonts w:hint="eastAsia" w:ascii="宋体" w:hAnsi="宋体" w:cs="宋体"/>
                <w:sz w:val="24"/>
              </w:rPr>
              <w:t>分,无承诺不得分。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727" w:type="dxa"/>
            <w:vMerge w:val="continue"/>
            <w:vAlign w:val="center"/>
          </w:tcPr>
          <w:p>
            <w:pPr>
              <w:pStyle w:val="78"/>
              <w:adjustRightInd w:val="0"/>
              <w:snapToGrid w:val="0"/>
              <w:jc w:val="center"/>
              <w:rPr>
                <w:rFonts w:ascii="宋体" w:hAnsi="宋体" w:cs="宋体"/>
                <w:sz w:val="24"/>
              </w:rPr>
            </w:pPr>
          </w:p>
        </w:tc>
        <w:tc>
          <w:tcPr>
            <w:tcW w:w="1883" w:type="dxa"/>
            <w:vAlign w:val="center"/>
          </w:tcPr>
          <w:p>
            <w:pPr>
              <w:pStyle w:val="78"/>
              <w:adjustRightInd w:val="0"/>
              <w:snapToGrid w:val="0"/>
              <w:jc w:val="center"/>
              <w:rPr>
                <w:rFonts w:ascii="宋体" w:hAnsi="宋体" w:cs="宋体"/>
                <w:sz w:val="24"/>
              </w:rPr>
            </w:pPr>
            <w:r>
              <w:rPr>
                <w:rFonts w:hint="eastAsia" w:ascii="宋体" w:hAnsi="宋体" w:cs="宋体"/>
                <w:sz w:val="24"/>
              </w:rPr>
              <w:t>实施方案及保障措施（</w:t>
            </w:r>
            <w:r>
              <w:rPr>
                <w:rFonts w:ascii="宋体" w:hAnsi="宋体" w:cs="宋体"/>
                <w:sz w:val="24"/>
              </w:rPr>
              <w:t>22</w:t>
            </w:r>
            <w:r>
              <w:rPr>
                <w:rFonts w:hint="eastAsia" w:ascii="宋体" w:hAnsi="宋体" w:cs="宋体"/>
                <w:sz w:val="24"/>
              </w:rPr>
              <w:t>分）</w:t>
            </w:r>
          </w:p>
        </w:tc>
        <w:tc>
          <w:tcPr>
            <w:tcW w:w="7089" w:type="dxa"/>
          </w:tcPr>
          <w:p>
            <w:pPr>
              <w:spacing w:line="480" w:lineRule="exact"/>
              <w:ind w:firstLine="480" w:firstLineChars="200"/>
              <w:rPr>
                <w:rFonts w:hAnsi="宋体" w:cs="宋体"/>
                <w:kern w:val="2"/>
                <w:sz w:val="24"/>
                <w:szCs w:val="24"/>
              </w:rPr>
            </w:pPr>
            <w:r>
              <w:rPr>
                <w:rFonts w:hAnsi="宋体" w:cs="宋体"/>
                <w:kern w:val="2"/>
                <w:sz w:val="24"/>
                <w:szCs w:val="24"/>
              </w:rPr>
              <w:t>1</w:t>
            </w:r>
            <w:r>
              <w:rPr>
                <w:rFonts w:hint="eastAsia" w:hAnsi="宋体" w:cs="宋体"/>
                <w:kern w:val="2"/>
                <w:sz w:val="24"/>
                <w:szCs w:val="24"/>
              </w:rPr>
              <w:t>.根据供应商提供的项目实施方案(包含1.课程设计；2.拍摄准备；3.课程拍摄；4.课程后期制作；5</w:t>
            </w:r>
            <w:r>
              <w:rPr>
                <w:sz w:val="24"/>
                <w:szCs w:val="24"/>
              </w:rPr>
              <w:t>.</w:t>
            </w:r>
            <w:r>
              <w:rPr>
                <w:rFonts w:hint="eastAsia"/>
                <w:sz w:val="24"/>
                <w:szCs w:val="24"/>
              </w:rPr>
              <w:t xml:space="preserve"> 课程运行推广</w:t>
            </w:r>
            <w:r>
              <w:rPr>
                <w:rFonts w:hint="eastAsia" w:hAnsi="宋体" w:cs="宋体"/>
                <w:kern w:val="2"/>
                <w:sz w:val="24"/>
                <w:szCs w:val="24"/>
              </w:rPr>
              <w:t>)进行综合评审。上述方案完整、内容描述详细、完全符合采购项目采购需求的得10分，以上方面每一处存在缺陷（缺陷指与项目实际情况不符或不满足项目需求或内容缺失）的扣2分，扣完本项分值为止。</w:t>
            </w:r>
          </w:p>
          <w:p>
            <w:pPr>
              <w:spacing w:line="480" w:lineRule="exact"/>
              <w:ind w:firstLine="480" w:firstLineChars="200"/>
              <w:rPr>
                <w:rFonts w:hAnsi="宋体" w:cs="宋体"/>
                <w:kern w:val="2"/>
                <w:sz w:val="24"/>
                <w:szCs w:val="24"/>
              </w:rPr>
            </w:pPr>
            <w:r>
              <w:rPr>
                <w:rFonts w:hAnsi="宋体" w:cs="宋体"/>
                <w:kern w:val="2"/>
                <w:sz w:val="24"/>
                <w:szCs w:val="24"/>
              </w:rPr>
              <w:t>2</w:t>
            </w:r>
            <w:r>
              <w:rPr>
                <w:rFonts w:hint="eastAsia" w:hAnsi="宋体" w:cs="宋体"/>
                <w:kern w:val="2"/>
                <w:sz w:val="24"/>
                <w:szCs w:val="24"/>
              </w:rPr>
              <w:t>.根据供应商拟投入本项目人员配置(包括但不限于:1.课程设计与制作团队;2.视频拍摄团队;3.视频制作团队;4.课程运行推广团队等) 进行综合评审。上述配置完整得</w:t>
            </w:r>
            <w:r>
              <w:rPr>
                <w:rFonts w:hAnsi="宋体" w:cs="宋体"/>
                <w:kern w:val="2"/>
                <w:sz w:val="24"/>
                <w:szCs w:val="24"/>
              </w:rPr>
              <w:t>6</w:t>
            </w:r>
            <w:r>
              <w:rPr>
                <w:rFonts w:hint="eastAsia" w:hAnsi="宋体" w:cs="宋体"/>
                <w:kern w:val="2"/>
                <w:sz w:val="24"/>
                <w:szCs w:val="24"/>
              </w:rPr>
              <w:t>分，以上方面每一处存在缺陷（缺陷指与项目实际情况不符或不满足项目需求或内容缺失）的扣</w:t>
            </w:r>
            <w:r>
              <w:rPr>
                <w:rFonts w:hAnsi="宋体" w:cs="宋体"/>
                <w:kern w:val="2"/>
                <w:sz w:val="24"/>
                <w:szCs w:val="24"/>
              </w:rPr>
              <w:t>1.5</w:t>
            </w:r>
            <w:r>
              <w:rPr>
                <w:rFonts w:hint="eastAsia" w:hAnsi="宋体" w:cs="宋体"/>
                <w:kern w:val="2"/>
                <w:sz w:val="24"/>
                <w:szCs w:val="24"/>
              </w:rPr>
              <w:t>分，扣完本项分值为止。</w:t>
            </w:r>
          </w:p>
          <w:p>
            <w:pPr>
              <w:spacing w:line="480" w:lineRule="exact"/>
              <w:ind w:firstLine="480" w:firstLineChars="200"/>
              <w:rPr>
                <w:rFonts w:hAnsi="宋体" w:cs="宋体"/>
                <w:kern w:val="2"/>
                <w:sz w:val="24"/>
                <w:szCs w:val="24"/>
              </w:rPr>
            </w:pPr>
            <w:r>
              <w:rPr>
                <w:rFonts w:hint="eastAsia" w:hAnsi="宋体" w:cs="宋体"/>
                <w:kern w:val="2"/>
                <w:sz w:val="24"/>
                <w:szCs w:val="24"/>
              </w:rPr>
              <w:t>3</w:t>
            </w:r>
            <w:r>
              <w:rPr>
                <w:rFonts w:hAnsi="宋体" w:cs="宋体"/>
                <w:kern w:val="2"/>
                <w:sz w:val="24"/>
                <w:szCs w:val="24"/>
              </w:rPr>
              <w:t>.</w:t>
            </w:r>
            <w:r>
              <w:rPr>
                <w:rFonts w:hint="eastAsia" w:hAnsi="宋体" w:cs="宋体"/>
                <w:kern w:val="2"/>
                <w:sz w:val="24"/>
                <w:szCs w:val="24"/>
              </w:rPr>
              <w:t>根据供应商拟投入本项目设备配置(包括但不限于:1.拍摄相关设备；2.工作区设备；3.软件配置；4.拍摄现场管理方案等)进行综合评审。上述配置完整得</w:t>
            </w:r>
            <w:r>
              <w:rPr>
                <w:rFonts w:hAnsi="宋体" w:cs="宋体"/>
                <w:kern w:val="2"/>
                <w:sz w:val="24"/>
                <w:szCs w:val="24"/>
              </w:rPr>
              <w:t>6</w:t>
            </w:r>
            <w:r>
              <w:rPr>
                <w:rFonts w:hint="eastAsia" w:hAnsi="宋体" w:cs="宋体"/>
                <w:kern w:val="2"/>
                <w:sz w:val="24"/>
                <w:szCs w:val="24"/>
              </w:rPr>
              <w:t>分，以上方面每一处存在缺陷（缺陷指与项目实际情况不符或不满足项目需求或内容缺失）的扣</w:t>
            </w:r>
            <w:r>
              <w:rPr>
                <w:rFonts w:hAnsi="宋体" w:cs="宋体"/>
                <w:kern w:val="2"/>
                <w:sz w:val="24"/>
                <w:szCs w:val="24"/>
              </w:rPr>
              <w:t>1.5</w:t>
            </w:r>
            <w:r>
              <w:rPr>
                <w:rFonts w:hint="eastAsia" w:hAnsi="宋体" w:cs="宋体"/>
                <w:kern w:val="2"/>
                <w:sz w:val="24"/>
                <w:szCs w:val="24"/>
              </w:rPr>
              <w:t>分，扣完本项分值为止。</w:t>
            </w:r>
          </w:p>
          <w:p>
            <w:pPr>
              <w:pStyle w:val="78"/>
              <w:tabs>
                <w:tab w:val="left" w:pos="350"/>
              </w:tabs>
              <w:spacing w:before="6" w:line="440" w:lineRule="exact"/>
              <w:ind w:firstLine="480" w:firstLineChars="200"/>
              <w:rPr>
                <w:rFonts w:ascii="宋体" w:hAnsi="宋体" w:cs="宋体"/>
                <w:sz w:val="24"/>
              </w:rPr>
            </w:pPr>
            <w:r>
              <w:rPr>
                <w:rFonts w:hint="eastAsia" w:ascii="宋体" w:hAnsi="宋体" w:cs="宋体"/>
                <w:sz w:val="24"/>
              </w:rPr>
              <w:t>（供应商提供团队人员清单，列出人员姓名、工作任务、性别、身份证号码、联系方式。不提供不得分。 提供设备清单(列明品牌、型号、数量)、现场图片等。不提供不得分。）</w:t>
            </w:r>
            <w:r>
              <w:rPr>
                <w:rFonts w:ascii="宋体" w:hAnsi="宋体" w:cs="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727" w:type="dxa"/>
            <w:vAlign w:val="center"/>
          </w:tcPr>
          <w:p>
            <w:pPr>
              <w:pStyle w:val="78"/>
              <w:adjustRightInd w:val="0"/>
              <w:snapToGrid w:val="0"/>
              <w:jc w:val="center"/>
              <w:rPr>
                <w:rFonts w:ascii="宋体" w:hAnsi="宋体" w:cs="宋体"/>
                <w:sz w:val="24"/>
              </w:rPr>
            </w:pPr>
            <w:r>
              <w:rPr>
                <w:rFonts w:hint="eastAsia" w:ascii="宋体" w:hAnsi="宋体" w:cs="宋体"/>
                <w:sz w:val="24"/>
              </w:rPr>
              <w:t>4</w:t>
            </w:r>
          </w:p>
        </w:tc>
        <w:tc>
          <w:tcPr>
            <w:tcW w:w="1883" w:type="dxa"/>
            <w:vAlign w:val="center"/>
          </w:tcPr>
          <w:p>
            <w:pPr>
              <w:pStyle w:val="78"/>
              <w:adjustRightInd w:val="0"/>
              <w:snapToGrid w:val="0"/>
              <w:jc w:val="center"/>
              <w:rPr>
                <w:rFonts w:ascii="宋体" w:hAnsi="宋体" w:cs="宋体"/>
                <w:sz w:val="24"/>
              </w:rPr>
            </w:pPr>
            <w:r>
              <w:rPr>
                <w:rFonts w:hint="eastAsia" w:ascii="宋体" w:hAnsi="宋体" w:cs="宋体"/>
                <w:sz w:val="24"/>
              </w:rPr>
              <w:t>服务团队（</w:t>
            </w:r>
            <w:r>
              <w:rPr>
                <w:rFonts w:ascii="宋体" w:hAnsi="宋体" w:cs="宋体"/>
                <w:sz w:val="24"/>
              </w:rPr>
              <w:t>20</w:t>
            </w:r>
            <w:r>
              <w:rPr>
                <w:rFonts w:hint="eastAsia" w:ascii="宋体" w:hAnsi="宋体" w:cs="宋体"/>
                <w:sz w:val="24"/>
              </w:rPr>
              <w:t>分）</w:t>
            </w:r>
          </w:p>
        </w:tc>
        <w:tc>
          <w:tcPr>
            <w:tcW w:w="7089" w:type="dxa"/>
          </w:tcPr>
          <w:p>
            <w:pPr>
              <w:ind w:firstLine="480" w:firstLineChars="200"/>
              <w:textAlignment w:val="center"/>
              <w:rPr>
                <w:rFonts w:hAnsi="宋体" w:cs="宋体"/>
                <w:kern w:val="2"/>
                <w:sz w:val="24"/>
                <w:szCs w:val="24"/>
              </w:rPr>
            </w:pPr>
            <w:r>
              <w:rPr>
                <w:rFonts w:hint="eastAsia" w:hAnsi="宋体" w:cs="宋体"/>
                <w:kern w:val="2"/>
                <w:sz w:val="24"/>
                <w:szCs w:val="24"/>
              </w:rPr>
              <w:t>1.供应商有建设和推广职教类课程思政示范课经验</w:t>
            </w:r>
            <w:r>
              <w:rPr>
                <w:rFonts w:hAnsi="宋体" w:cs="宋体"/>
                <w:kern w:val="2"/>
                <w:sz w:val="24"/>
                <w:szCs w:val="24"/>
              </w:rPr>
              <w:t>，</w:t>
            </w:r>
            <w:r>
              <w:rPr>
                <w:rFonts w:hint="eastAsia" w:hAnsi="宋体" w:cs="宋体"/>
                <w:kern w:val="2"/>
                <w:sz w:val="24"/>
                <w:szCs w:val="24"/>
              </w:rPr>
              <w:t>已通过自有平台申报并成功认定国家级课程思政示范课程</w:t>
            </w:r>
            <w:r>
              <w:rPr>
                <w:rFonts w:hAnsi="宋体" w:cs="宋体"/>
                <w:kern w:val="2"/>
                <w:sz w:val="24"/>
                <w:szCs w:val="24"/>
              </w:rPr>
              <w:t>：</w:t>
            </w:r>
          </w:p>
          <w:p>
            <w:pPr>
              <w:textAlignment w:val="center"/>
              <w:rPr>
                <w:rFonts w:hAnsi="宋体" w:cs="宋体"/>
                <w:kern w:val="2"/>
                <w:sz w:val="24"/>
                <w:szCs w:val="24"/>
              </w:rPr>
            </w:pPr>
            <w:r>
              <w:rPr>
                <w:rFonts w:hint="eastAsia" w:hAnsi="宋体" w:cs="宋体"/>
                <w:kern w:val="2"/>
                <w:sz w:val="24"/>
                <w:szCs w:val="24"/>
              </w:rPr>
              <w:t>2</w:t>
            </w:r>
            <w:r>
              <w:rPr>
                <w:rFonts w:hAnsi="宋体" w:cs="宋体"/>
                <w:kern w:val="2"/>
                <w:sz w:val="24"/>
                <w:szCs w:val="24"/>
              </w:rPr>
              <w:t>5</w:t>
            </w:r>
            <w:r>
              <w:rPr>
                <w:rFonts w:hint="eastAsia" w:hAnsi="宋体" w:cs="宋体"/>
                <w:kern w:val="2"/>
                <w:sz w:val="24"/>
                <w:szCs w:val="24"/>
              </w:rPr>
              <w:t>门以上（包括2</w:t>
            </w:r>
            <w:r>
              <w:rPr>
                <w:rFonts w:hAnsi="宋体" w:cs="宋体"/>
                <w:kern w:val="2"/>
                <w:sz w:val="24"/>
                <w:szCs w:val="24"/>
              </w:rPr>
              <w:t>5</w:t>
            </w:r>
            <w:r>
              <w:rPr>
                <w:rFonts w:hint="eastAsia" w:hAnsi="宋体" w:cs="宋体"/>
                <w:kern w:val="2"/>
                <w:sz w:val="24"/>
                <w:szCs w:val="24"/>
              </w:rPr>
              <w:t>门），得1</w:t>
            </w:r>
            <w:r>
              <w:rPr>
                <w:rFonts w:hAnsi="宋体" w:cs="宋体"/>
                <w:kern w:val="2"/>
                <w:sz w:val="24"/>
                <w:szCs w:val="24"/>
              </w:rPr>
              <w:t>3</w:t>
            </w:r>
            <w:r>
              <w:rPr>
                <w:rFonts w:hint="eastAsia" w:hAnsi="宋体" w:cs="宋体"/>
                <w:kern w:val="2"/>
                <w:sz w:val="24"/>
                <w:szCs w:val="24"/>
              </w:rPr>
              <w:t>分；20-24门，得</w:t>
            </w:r>
            <w:r>
              <w:rPr>
                <w:rFonts w:hAnsi="宋体" w:cs="宋体"/>
                <w:kern w:val="2"/>
                <w:sz w:val="24"/>
                <w:szCs w:val="24"/>
              </w:rPr>
              <w:t>7</w:t>
            </w:r>
            <w:r>
              <w:rPr>
                <w:rFonts w:hint="eastAsia" w:hAnsi="宋体" w:cs="宋体"/>
                <w:kern w:val="2"/>
                <w:sz w:val="24"/>
                <w:szCs w:val="24"/>
              </w:rPr>
              <w:t>分；15-19门，得</w:t>
            </w:r>
            <w:r>
              <w:rPr>
                <w:rFonts w:hint="eastAsia" w:hAnsi="宋体" w:cs="宋体"/>
                <w:kern w:val="2"/>
                <w:sz w:val="24"/>
                <w:szCs w:val="24"/>
                <w:lang w:val="en-US" w:eastAsia="zh-CN"/>
              </w:rPr>
              <w:t>5</w:t>
            </w:r>
            <w:r>
              <w:rPr>
                <w:rFonts w:hint="eastAsia" w:hAnsi="宋体" w:cs="宋体"/>
                <w:kern w:val="2"/>
                <w:sz w:val="24"/>
                <w:szCs w:val="24"/>
              </w:rPr>
              <w:t>分；10-14门，得3分；1-9门，得1分；</w:t>
            </w:r>
            <w:r>
              <w:rPr>
                <w:rFonts w:hint="eastAsia" w:hAnsi="宋体" w:cs="宋体"/>
                <w:kern w:val="2"/>
                <w:sz w:val="24"/>
                <w:szCs w:val="24"/>
                <w:lang w:val="en-US" w:eastAsia="zh-CN"/>
              </w:rPr>
              <w:t>没有，</w:t>
            </w:r>
            <w:r>
              <w:rPr>
                <w:rFonts w:hint="eastAsia" w:hAnsi="宋体" w:cs="宋体"/>
                <w:kern w:val="2"/>
                <w:sz w:val="24"/>
                <w:szCs w:val="24"/>
              </w:rPr>
              <w:t>得0分。（提供教育部课程思政示范课程工作网公示截图，不提供不得分。）</w:t>
            </w:r>
          </w:p>
          <w:p>
            <w:pPr>
              <w:ind w:firstLine="480" w:firstLineChars="200"/>
              <w:textAlignment w:val="center"/>
              <w:rPr>
                <w:rFonts w:hAnsi="宋体" w:cs="宋体"/>
                <w:kern w:val="2"/>
                <w:sz w:val="24"/>
                <w:szCs w:val="24"/>
              </w:rPr>
            </w:pPr>
            <w:r>
              <w:rPr>
                <w:rFonts w:hint="eastAsia" w:hAnsi="宋体" w:cs="宋体"/>
                <w:kern w:val="2"/>
                <w:sz w:val="24"/>
                <w:szCs w:val="24"/>
              </w:rPr>
              <w:t>2</w:t>
            </w:r>
            <w:r>
              <w:rPr>
                <w:rFonts w:hAnsi="宋体" w:cs="宋体"/>
                <w:kern w:val="2"/>
                <w:sz w:val="24"/>
                <w:szCs w:val="24"/>
              </w:rPr>
              <w:t>.</w:t>
            </w:r>
            <w:r>
              <w:rPr>
                <w:rFonts w:hint="eastAsia" w:hAnsi="宋体" w:cs="宋体"/>
                <w:kern w:val="2"/>
                <w:sz w:val="24"/>
                <w:szCs w:val="24"/>
              </w:rPr>
              <w:t>团队具有国家级教学名师，得2分；团队具有省级教学名师，得1分；团队具有教学能力大赛国家级奖项或国家级课程思政示范课程负责人，得3分；团队具有教学能力大赛省级一等奖或省级课程思政示范课程负责人，得1分。</w:t>
            </w:r>
          </w:p>
          <w:p>
            <w:pPr>
              <w:spacing w:line="480" w:lineRule="exact"/>
              <w:ind w:firstLine="480" w:firstLineChars="200"/>
              <w:rPr>
                <w:rFonts w:hAnsi="宋体" w:cs="宋体"/>
                <w:kern w:val="2"/>
                <w:sz w:val="24"/>
                <w:szCs w:val="24"/>
              </w:rPr>
            </w:pPr>
            <w:r>
              <w:rPr>
                <w:rFonts w:hint="eastAsia" w:hAnsi="宋体" w:cs="宋体"/>
                <w:kern w:val="2"/>
                <w:sz w:val="24"/>
                <w:szCs w:val="24"/>
              </w:rPr>
              <w:t>（提供相关证书及聘用合同复印件）</w:t>
            </w:r>
          </w:p>
        </w:tc>
      </w:tr>
    </w:tbl>
    <w:p>
      <w:pPr>
        <w:rPr>
          <w:rFonts w:hAnsi="宋体" w:cs="宋体"/>
          <w:sz w:val="30"/>
          <w:szCs w:val="30"/>
        </w:rPr>
      </w:pPr>
    </w:p>
    <w:p>
      <w:pPr>
        <w:rPr>
          <w:rFonts w:hAnsi="宋体" w:cs="宋体"/>
          <w:sz w:val="30"/>
          <w:szCs w:val="30"/>
        </w:rPr>
      </w:pPr>
    </w:p>
    <w:p>
      <w:pPr>
        <w:pStyle w:val="2"/>
        <w:ind w:left="680" w:firstLine="680"/>
      </w:pPr>
    </w:p>
    <w:p>
      <w:pPr>
        <w:ind w:firstLine="3000" w:firstLineChars="1000"/>
        <w:rPr>
          <w:rFonts w:hAnsi="宋体" w:cs="宋体"/>
          <w:sz w:val="30"/>
          <w:szCs w:val="30"/>
        </w:rPr>
      </w:pPr>
    </w:p>
    <w:p>
      <w:pPr>
        <w:ind w:firstLine="3000" w:firstLineChars="1000"/>
        <w:rPr>
          <w:rFonts w:hAnsi="宋体" w:cs="宋体"/>
          <w:sz w:val="30"/>
          <w:szCs w:val="30"/>
        </w:rPr>
      </w:pPr>
    </w:p>
    <w:p>
      <w:pPr>
        <w:ind w:firstLine="3000" w:firstLineChars="1000"/>
        <w:rPr>
          <w:rFonts w:hint="eastAsia" w:hAnsi="宋体" w:cs="宋体"/>
          <w:sz w:val="30"/>
          <w:szCs w:val="30"/>
        </w:rPr>
      </w:pPr>
    </w:p>
    <w:p>
      <w:pPr>
        <w:ind w:firstLine="3000" w:firstLineChars="1000"/>
        <w:rPr>
          <w:rFonts w:hAnsi="宋体" w:cs="宋体"/>
          <w:sz w:val="30"/>
          <w:szCs w:val="30"/>
        </w:rPr>
      </w:pPr>
      <w:r>
        <w:rPr>
          <w:rFonts w:hint="eastAsia" w:hAnsi="宋体" w:cs="宋体"/>
          <w:sz w:val="30"/>
          <w:szCs w:val="30"/>
        </w:rPr>
        <w:t>第六章 合同主要条款</w:t>
      </w:r>
    </w:p>
    <w:p>
      <w:pPr>
        <w:ind w:firstLine="3614" w:firstLineChars="1500"/>
      </w:pPr>
      <w:r>
        <w:rPr>
          <w:rFonts w:hint="eastAsia" w:ascii="Times New Roman" w:hAnsi="宋体" w:cs="宋体"/>
          <w:b/>
          <w:bCs/>
          <w:sz w:val="24"/>
          <w:szCs w:val="24"/>
        </w:rPr>
        <w:t>（双方协商签订</w:t>
      </w:r>
      <w:r>
        <w:rPr>
          <w:rFonts w:hint="eastAsia" w:ascii="Times New Roman" w:hAnsi="宋体" w:cs="宋体"/>
          <w:sz w:val="24"/>
          <w:szCs w:val="24"/>
        </w:rPr>
        <w:t>）</w:t>
      </w:r>
    </w:p>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585" cy="280035"/>
              <wp:effectExtent l="0" t="0" r="5715" b="5715"/>
              <wp:wrapNone/>
              <wp:docPr id="3" name="矩形 1"/>
              <wp:cNvGraphicFramePr/>
              <a:graphic xmlns:a="http://schemas.openxmlformats.org/drawingml/2006/main">
                <a:graphicData uri="http://schemas.microsoft.com/office/word/2010/wordprocessingShape">
                  <wps:wsp>
                    <wps:cNvSpPr>
                      <a:spLocks noChangeArrowheads="1"/>
                    </wps:cNvSpPr>
                    <wps:spPr bwMode="auto">
                      <a:xfrm>
                        <a:off x="0" y="0"/>
                        <a:ext cx="10858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1" o:spid="_x0000_s1026" o:spt="1" style="position:absolute;left:0pt;margin-top:0pt;height:22.05pt;width:8.55pt;mso-position-horizontal:center;mso-position-horizontal-relative:margin;mso-wrap-style:none;z-index:251659264;mso-width-relative:page;mso-height-relative:page;" filled="f" stroked="f" coordsize="21600,21600" o:gfxdata="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0F47tEAAAADAQAADwAAAAAAAAABACAAAAAiAAAAZHJzL2Rvd25yZXYueG1s&#10;UEsBAhQAFAAAAAgAh07iQJabwZv/AQAA9QMAAA4AAAAAAAAAAQAgAAAAIAEAAGRycy9lMm9Eb2Mu&#10;eG1sUEsFBgAAAAAGAAYAWQEAAJ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rPr>
        <w:rFonts w:hAnsi="宋体"/>
      </w:rPr>
    </w:pPr>
    <w:r>
      <w:rPr>
        <w:rFonts w:hint="eastAsia" w:hAnsi="宋体"/>
      </w:rPr>
      <w:t>公共教学部课程思政建设项目－招标文件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decimal"/>
      <w:lvlText w:val="（%1）"/>
      <w:lvlJc w:val="left"/>
      <w:pPr>
        <w:ind w:left="1428" w:hanging="720"/>
      </w:pPr>
      <w:rPr>
        <w:rFonts w:hint="default"/>
        <w:lang w:val="en-US"/>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1">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F282DAC"/>
    <w:multiLevelType w:val="singleLevel"/>
    <w:tmpl w:val="4F282DAC"/>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NmI4ODVkOTI4MDU0N2JlOTE4OWZjNjc2YmI3OWQifQ=="/>
  </w:docVars>
  <w:rsids>
    <w:rsidRoot w:val="00172A27"/>
    <w:rsid w:val="0000130C"/>
    <w:rsid w:val="00001B4D"/>
    <w:rsid w:val="0001189E"/>
    <w:rsid w:val="00013F1F"/>
    <w:rsid w:val="00015B12"/>
    <w:rsid w:val="00020591"/>
    <w:rsid w:val="00022579"/>
    <w:rsid w:val="000227F3"/>
    <w:rsid w:val="000300FA"/>
    <w:rsid w:val="000305B8"/>
    <w:rsid w:val="00034E6A"/>
    <w:rsid w:val="00037883"/>
    <w:rsid w:val="000414D3"/>
    <w:rsid w:val="000476C7"/>
    <w:rsid w:val="00062B97"/>
    <w:rsid w:val="00074602"/>
    <w:rsid w:val="00083A44"/>
    <w:rsid w:val="000921E3"/>
    <w:rsid w:val="000955D2"/>
    <w:rsid w:val="000A1BAE"/>
    <w:rsid w:val="000B2D46"/>
    <w:rsid w:val="000C3891"/>
    <w:rsid w:val="000C53BC"/>
    <w:rsid w:val="000D3C29"/>
    <w:rsid w:val="000E3A51"/>
    <w:rsid w:val="000F0B31"/>
    <w:rsid w:val="00104D52"/>
    <w:rsid w:val="00111D52"/>
    <w:rsid w:val="00115F7B"/>
    <w:rsid w:val="0011612A"/>
    <w:rsid w:val="001269FA"/>
    <w:rsid w:val="00142405"/>
    <w:rsid w:val="001433DB"/>
    <w:rsid w:val="0014556F"/>
    <w:rsid w:val="00157635"/>
    <w:rsid w:val="00172A27"/>
    <w:rsid w:val="001816D1"/>
    <w:rsid w:val="00181E14"/>
    <w:rsid w:val="00185388"/>
    <w:rsid w:val="00194319"/>
    <w:rsid w:val="001943F1"/>
    <w:rsid w:val="001A1EDF"/>
    <w:rsid w:val="001A30C1"/>
    <w:rsid w:val="001A3304"/>
    <w:rsid w:val="001C4C5D"/>
    <w:rsid w:val="001D590C"/>
    <w:rsid w:val="001E077D"/>
    <w:rsid w:val="0021094F"/>
    <w:rsid w:val="002114B9"/>
    <w:rsid w:val="00213CF5"/>
    <w:rsid w:val="00214550"/>
    <w:rsid w:val="0021517F"/>
    <w:rsid w:val="00215D24"/>
    <w:rsid w:val="002222E6"/>
    <w:rsid w:val="00225FC9"/>
    <w:rsid w:val="00231CEA"/>
    <w:rsid w:val="00242F03"/>
    <w:rsid w:val="00252539"/>
    <w:rsid w:val="0025566C"/>
    <w:rsid w:val="002619F7"/>
    <w:rsid w:val="0027116E"/>
    <w:rsid w:val="002740EE"/>
    <w:rsid w:val="00277088"/>
    <w:rsid w:val="002802D2"/>
    <w:rsid w:val="00280F89"/>
    <w:rsid w:val="002932A5"/>
    <w:rsid w:val="002945D4"/>
    <w:rsid w:val="00297578"/>
    <w:rsid w:val="002A6490"/>
    <w:rsid w:val="002F3A9D"/>
    <w:rsid w:val="00302533"/>
    <w:rsid w:val="00303BEC"/>
    <w:rsid w:val="0031337F"/>
    <w:rsid w:val="00314D2B"/>
    <w:rsid w:val="00315726"/>
    <w:rsid w:val="00315BFD"/>
    <w:rsid w:val="00324EA0"/>
    <w:rsid w:val="00330AB4"/>
    <w:rsid w:val="00333F18"/>
    <w:rsid w:val="003426C9"/>
    <w:rsid w:val="0034384C"/>
    <w:rsid w:val="003438E5"/>
    <w:rsid w:val="00351B66"/>
    <w:rsid w:val="0035599F"/>
    <w:rsid w:val="00356F68"/>
    <w:rsid w:val="00374997"/>
    <w:rsid w:val="00376338"/>
    <w:rsid w:val="0038282C"/>
    <w:rsid w:val="003844A8"/>
    <w:rsid w:val="00384840"/>
    <w:rsid w:val="00385E8B"/>
    <w:rsid w:val="003A3450"/>
    <w:rsid w:val="003A564F"/>
    <w:rsid w:val="003C2094"/>
    <w:rsid w:val="003C49AF"/>
    <w:rsid w:val="003D00DA"/>
    <w:rsid w:val="003D11A5"/>
    <w:rsid w:val="003D4974"/>
    <w:rsid w:val="003D6934"/>
    <w:rsid w:val="003E1BF9"/>
    <w:rsid w:val="003E2D70"/>
    <w:rsid w:val="003F4143"/>
    <w:rsid w:val="0040317E"/>
    <w:rsid w:val="0041087A"/>
    <w:rsid w:val="00412E90"/>
    <w:rsid w:val="00423D03"/>
    <w:rsid w:val="004250DD"/>
    <w:rsid w:val="004368FD"/>
    <w:rsid w:val="00450DBA"/>
    <w:rsid w:val="00451066"/>
    <w:rsid w:val="0046280F"/>
    <w:rsid w:val="00477BEA"/>
    <w:rsid w:val="00484F83"/>
    <w:rsid w:val="004856D2"/>
    <w:rsid w:val="00485779"/>
    <w:rsid w:val="004A0487"/>
    <w:rsid w:val="004A550E"/>
    <w:rsid w:val="004A58BA"/>
    <w:rsid w:val="004A603A"/>
    <w:rsid w:val="004B0DBB"/>
    <w:rsid w:val="004B6322"/>
    <w:rsid w:val="004D0C88"/>
    <w:rsid w:val="004E4B00"/>
    <w:rsid w:val="004E54D8"/>
    <w:rsid w:val="004F0192"/>
    <w:rsid w:val="004F3B9B"/>
    <w:rsid w:val="004F5512"/>
    <w:rsid w:val="004F718A"/>
    <w:rsid w:val="00510855"/>
    <w:rsid w:val="0051463D"/>
    <w:rsid w:val="00517148"/>
    <w:rsid w:val="00522931"/>
    <w:rsid w:val="00523D5E"/>
    <w:rsid w:val="00526EF1"/>
    <w:rsid w:val="00534CBB"/>
    <w:rsid w:val="00541E7A"/>
    <w:rsid w:val="00551968"/>
    <w:rsid w:val="005523F9"/>
    <w:rsid w:val="0055330A"/>
    <w:rsid w:val="00565D29"/>
    <w:rsid w:val="0057392A"/>
    <w:rsid w:val="0057670A"/>
    <w:rsid w:val="00577163"/>
    <w:rsid w:val="0058164F"/>
    <w:rsid w:val="00581EB4"/>
    <w:rsid w:val="00587168"/>
    <w:rsid w:val="00593373"/>
    <w:rsid w:val="005A011C"/>
    <w:rsid w:val="005A1491"/>
    <w:rsid w:val="005B51EA"/>
    <w:rsid w:val="005C0690"/>
    <w:rsid w:val="005D660E"/>
    <w:rsid w:val="005D76BC"/>
    <w:rsid w:val="005E686E"/>
    <w:rsid w:val="005F3651"/>
    <w:rsid w:val="005F6239"/>
    <w:rsid w:val="005F6D20"/>
    <w:rsid w:val="006076D0"/>
    <w:rsid w:val="006178E3"/>
    <w:rsid w:val="00620960"/>
    <w:rsid w:val="006317E0"/>
    <w:rsid w:val="00635F60"/>
    <w:rsid w:val="0064548D"/>
    <w:rsid w:val="00646F9E"/>
    <w:rsid w:val="00667782"/>
    <w:rsid w:val="0067044A"/>
    <w:rsid w:val="0067461D"/>
    <w:rsid w:val="006813F1"/>
    <w:rsid w:val="0068224E"/>
    <w:rsid w:val="00690CCE"/>
    <w:rsid w:val="00691F6C"/>
    <w:rsid w:val="00691FBB"/>
    <w:rsid w:val="006968FB"/>
    <w:rsid w:val="006A04FB"/>
    <w:rsid w:val="006B3B23"/>
    <w:rsid w:val="006B634A"/>
    <w:rsid w:val="006B64B2"/>
    <w:rsid w:val="006B797C"/>
    <w:rsid w:val="006C59D1"/>
    <w:rsid w:val="006C7451"/>
    <w:rsid w:val="006E3DDB"/>
    <w:rsid w:val="006F06EF"/>
    <w:rsid w:val="006F4716"/>
    <w:rsid w:val="00702D28"/>
    <w:rsid w:val="00712595"/>
    <w:rsid w:val="00722B66"/>
    <w:rsid w:val="00731735"/>
    <w:rsid w:val="00735003"/>
    <w:rsid w:val="00735742"/>
    <w:rsid w:val="00737A85"/>
    <w:rsid w:val="00740C17"/>
    <w:rsid w:val="007432C8"/>
    <w:rsid w:val="00764FE2"/>
    <w:rsid w:val="0076501E"/>
    <w:rsid w:val="00767976"/>
    <w:rsid w:val="00771D10"/>
    <w:rsid w:val="00781344"/>
    <w:rsid w:val="00781CCB"/>
    <w:rsid w:val="00786217"/>
    <w:rsid w:val="007956B7"/>
    <w:rsid w:val="007C5D97"/>
    <w:rsid w:val="007D0792"/>
    <w:rsid w:val="007D1094"/>
    <w:rsid w:val="007D60BE"/>
    <w:rsid w:val="007E08AE"/>
    <w:rsid w:val="007E3542"/>
    <w:rsid w:val="007F62D2"/>
    <w:rsid w:val="00815FBB"/>
    <w:rsid w:val="00823CD6"/>
    <w:rsid w:val="008351A2"/>
    <w:rsid w:val="008465E2"/>
    <w:rsid w:val="00850AE8"/>
    <w:rsid w:val="0085182D"/>
    <w:rsid w:val="00852219"/>
    <w:rsid w:val="00854B0E"/>
    <w:rsid w:val="00861B35"/>
    <w:rsid w:val="00861D35"/>
    <w:rsid w:val="008705D4"/>
    <w:rsid w:val="00871346"/>
    <w:rsid w:val="008721DC"/>
    <w:rsid w:val="008826E8"/>
    <w:rsid w:val="0089527E"/>
    <w:rsid w:val="008A3275"/>
    <w:rsid w:val="008A372A"/>
    <w:rsid w:val="008A733D"/>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53907"/>
    <w:rsid w:val="009541A1"/>
    <w:rsid w:val="00956AE4"/>
    <w:rsid w:val="00960833"/>
    <w:rsid w:val="00960E98"/>
    <w:rsid w:val="00964782"/>
    <w:rsid w:val="00975AC6"/>
    <w:rsid w:val="00983489"/>
    <w:rsid w:val="0098597A"/>
    <w:rsid w:val="009939CB"/>
    <w:rsid w:val="0099747D"/>
    <w:rsid w:val="009976EE"/>
    <w:rsid w:val="009A21CB"/>
    <w:rsid w:val="009B2D67"/>
    <w:rsid w:val="009B7EC9"/>
    <w:rsid w:val="009D1F47"/>
    <w:rsid w:val="009D23DB"/>
    <w:rsid w:val="009D4EE9"/>
    <w:rsid w:val="009E1130"/>
    <w:rsid w:val="009F639B"/>
    <w:rsid w:val="00A0208D"/>
    <w:rsid w:val="00A03414"/>
    <w:rsid w:val="00A06253"/>
    <w:rsid w:val="00A075C3"/>
    <w:rsid w:val="00A11CF0"/>
    <w:rsid w:val="00A13D90"/>
    <w:rsid w:val="00A2152A"/>
    <w:rsid w:val="00A23C2C"/>
    <w:rsid w:val="00A26126"/>
    <w:rsid w:val="00A27709"/>
    <w:rsid w:val="00A415A9"/>
    <w:rsid w:val="00A459B8"/>
    <w:rsid w:val="00A57A27"/>
    <w:rsid w:val="00A62532"/>
    <w:rsid w:val="00A7009A"/>
    <w:rsid w:val="00A8288C"/>
    <w:rsid w:val="00A83A88"/>
    <w:rsid w:val="00A92172"/>
    <w:rsid w:val="00A9666E"/>
    <w:rsid w:val="00AA1D32"/>
    <w:rsid w:val="00AA32F5"/>
    <w:rsid w:val="00AA4F6C"/>
    <w:rsid w:val="00AB1F36"/>
    <w:rsid w:val="00AB5A97"/>
    <w:rsid w:val="00AE0E42"/>
    <w:rsid w:val="00AE5591"/>
    <w:rsid w:val="00B10AC3"/>
    <w:rsid w:val="00B35C4C"/>
    <w:rsid w:val="00B634A6"/>
    <w:rsid w:val="00B92137"/>
    <w:rsid w:val="00BA023A"/>
    <w:rsid w:val="00BA04EB"/>
    <w:rsid w:val="00BA1E3F"/>
    <w:rsid w:val="00BA7A4D"/>
    <w:rsid w:val="00BB1824"/>
    <w:rsid w:val="00BB56BC"/>
    <w:rsid w:val="00BC4021"/>
    <w:rsid w:val="00BC52EB"/>
    <w:rsid w:val="00BC7DE2"/>
    <w:rsid w:val="00BD2B90"/>
    <w:rsid w:val="00BE0CDD"/>
    <w:rsid w:val="00BE3EDE"/>
    <w:rsid w:val="00BF30A0"/>
    <w:rsid w:val="00BF5C97"/>
    <w:rsid w:val="00BF6F90"/>
    <w:rsid w:val="00C06511"/>
    <w:rsid w:val="00C10464"/>
    <w:rsid w:val="00C11284"/>
    <w:rsid w:val="00C132F6"/>
    <w:rsid w:val="00C15F61"/>
    <w:rsid w:val="00C16CAE"/>
    <w:rsid w:val="00C3181D"/>
    <w:rsid w:val="00C35C05"/>
    <w:rsid w:val="00C50C93"/>
    <w:rsid w:val="00C52250"/>
    <w:rsid w:val="00C54697"/>
    <w:rsid w:val="00C55CD0"/>
    <w:rsid w:val="00C70180"/>
    <w:rsid w:val="00C81C28"/>
    <w:rsid w:val="00C821FD"/>
    <w:rsid w:val="00C82454"/>
    <w:rsid w:val="00C82BBB"/>
    <w:rsid w:val="00C83A4C"/>
    <w:rsid w:val="00C8568F"/>
    <w:rsid w:val="00C8705B"/>
    <w:rsid w:val="00C93064"/>
    <w:rsid w:val="00C937B1"/>
    <w:rsid w:val="00CA64F2"/>
    <w:rsid w:val="00CB1E2C"/>
    <w:rsid w:val="00CB78BD"/>
    <w:rsid w:val="00CB7B63"/>
    <w:rsid w:val="00CC2948"/>
    <w:rsid w:val="00CC5987"/>
    <w:rsid w:val="00CC6ED4"/>
    <w:rsid w:val="00CD004D"/>
    <w:rsid w:val="00CD0453"/>
    <w:rsid w:val="00CD3D0C"/>
    <w:rsid w:val="00CD4587"/>
    <w:rsid w:val="00CE5482"/>
    <w:rsid w:val="00D0210B"/>
    <w:rsid w:val="00D21B10"/>
    <w:rsid w:val="00D339E0"/>
    <w:rsid w:val="00D40A36"/>
    <w:rsid w:val="00D40F38"/>
    <w:rsid w:val="00D41FFE"/>
    <w:rsid w:val="00D50452"/>
    <w:rsid w:val="00D57F33"/>
    <w:rsid w:val="00D60F7C"/>
    <w:rsid w:val="00D65F48"/>
    <w:rsid w:val="00D67F05"/>
    <w:rsid w:val="00D72148"/>
    <w:rsid w:val="00D76C8E"/>
    <w:rsid w:val="00D81C14"/>
    <w:rsid w:val="00D84540"/>
    <w:rsid w:val="00D907DF"/>
    <w:rsid w:val="00D9414E"/>
    <w:rsid w:val="00DA21B8"/>
    <w:rsid w:val="00DB3C91"/>
    <w:rsid w:val="00DC0447"/>
    <w:rsid w:val="00DC4377"/>
    <w:rsid w:val="00DC4A4A"/>
    <w:rsid w:val="00DC6D26"/>
    <w:rsid w:val="00DD2646"/>
    <w:rsid w:val="00DD26EF"/>
    <w:rsid w:val="00DE0AD4"/>
    <w:rsid w:val="00DE1B68"/>
    <w:rsid w:val="00DE4625"/>
    <w:rsid w:val="00DE761B"/>
    <w:rsid w:val="00DF6E1E"/>
    <w:rsid w:val="00E0134E"/>
    <w:rsid w:val="00E152F7"/>
    <w:rsid w:val="00E1616D"/>
    <w:rsid w:val="00E22C25"/>
    <w:rsid w:val="00E27570"/>
    <w:rsid w:val="00E34A15"/>
    <w:rsid w:val="00E44A52"/>
    <w:rsid w:val="00E56AF3"/>
    <w:rsid w:val="00E66D51"/>
    <w:rsid w:val="00E73B8A"/>
    <w:rsid w:val="00E742A7"/>
    <w:rsid w:val="00E76852"/>
    <w:rsid w:val="00E77F85"/>
    <w:rsid w:val="00E8706F"/>
    <w:rsid w:val="00E9576A"/>
    <w:rsid w:val="00EA3731"/>
    <w:rsid w:val="00EA6F1B"/>
    <w:rsid w:val="00EB505F"/>
    <w:rsid w:val="00EC14D2"/>
    <w:rsid w:val="00ED6EA0"/>
    <w:rsid w:val="00EE1B3C"/>
    <w:rsid w:val="00EF4DBE"/>
    <w:rsid w:val="00EF51D7"/>
    <w:rsid w:val="00EF7675"/>
    <w:rsid w:val="00F14C96"/>
    <w:rsid w:val="00F53608"/>
    <w:rsid w:val="00F604E1"/>
    <w:rsid w:val="00F80326"/>
    <w:rsid w:val="00F82A64"/>
    <w:rsid w:val="00F86B39"/>
    <w:rsid w:val="00FA0D6E"/>
    <w:rsid w:val="00FB325C"/>
    <w:rsid w:val="00FC56B8"/>
    <w:rsid w:val="00FC5B97"/>
    <w:rsid w:val="00FC5BDA"/>
    <w:rsid w:val="00FC6A75"/>
    <w:rsid w:val="00FD0A36"/>
    <w:rsid w:val="00FD2F96"/>
    <w:rsid w:val="00FE3048"/>
    <w:rsid w:val="00FF13B3"/>
    <w:rsid w:val="00FF26A4"/>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4017EB"/>
    <w:rsid w:val="0E7D16D6"/>
    <w:rsid w:val="0E991F00"/>
    <w:rsid w:val="0E9D0906"/>
    <w:rsid w:val="0EA03F84"/>
    <w:rsid w:val="0EB4052B"/>
    <w:rsid w:val="0EBA5CB8"/>
    <w:rsid w:val="0EF21695"/>
    <w:rsid w:val="0F1550CD"/>
    <w:rsid w:val="0F2E087C"/>
    <w:rsid w:val="0F596ABB"/>
    <w:rsid w:val="0F5D0D44"/>
    <w:rsid w:val="0F6A005A"/>
    <w:rsid w:val="0FB04F4B"/>
    <w:rsid w:val="0FB6767A"/>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BC3B96"/>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42109"/>
    <w:rsid w:val="173A446A"/>
    <w:rsid w:val="17550AD5"/>
    <w:rsid w:val="175C045F"/>
    <w:rsid w:val="176B30C3"/>
    <w:rsid w:val="1780519C"/>
    <w:rsid w:val="1784532C"/>
    <w:rsid w:val="17A553DC"/>
    <w:rsid w:val="17B0376D"/>
    <w:rsid w:val="17C77B0F"/>
    <w:rsid w:val="17DC4231"/>
    <w:rsid w:val="17E838C7"/>
    <w:rsid w:val="18104A8B"/>
    <w:rsid w:val="18147F52"/>
    <w:rsid w:val="18322A41"/>
    <w:rsid w:val="183E46C8"/>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98216B"/>
    <w:rsid w:val="1AA56775"/>
    <w:rsid w:val="1AAE7552"/>
    <w:rsid w:val="1ADD2620"/>
    <w:rsid w:val="1AEB73B7"/>
    <w:rsid w:val="1AED613D"/>
    <w:rsid w:val="1AFC1DF0"/>
    <w:rsid w:val="1B4A1EFB"/>
    <w:rsid w:val="1B685A87"/>
    <w:rsid w:val="1B6C0C0A"/>
    <w:rsid w:val="1B6D668B"/>
    <w:rsid w:val="1B835BE0"/>
    <w:rsid w:val="1B933D1E"/>
    <w:rsid w:val="1BA40417"/>
    <w:rsid w:val="1BC51582"/>
    <w:rsid w:val="1BDB6CBF"/>
    <w:rsid w:val="1BE453D0"/>
    <w:rsid w:val="1BEE3761"/>
    <w:rsid w:val="1C091D8D"/>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660C5"/>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29B2CBA"/>
    <w:rsid w:val="230C2B7A"/>
    <w:rsid w:val="232C45F5"/>
    <w:rsid w:val="23574571"/>
    <w:rsid w:val="235C138F"/>
    <w:rsid w:val="23A52A88"/>
    <w:rsid w:val="23C478CF"/>
    <w:rsid w:val="23C8654A"/>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24756"/>
    <w:rsid w:val="269363C3"/>
    <w:rsid w:val="26B149A9"/>
    <w:rsid w:val="26D12FC0"/>
    <w:rsid w:val="26E25459"/>
    <w:rsid w:val="26E32EDA"/>
    <w:rsid w:val="26FE3DD4"/>
    <w:rsid w:val="2701728E"/>
    <w:rsid w:val="272557B3"/>
    <w:rsid w:val="27547C5E"/>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872B3B"/>
    <w:rsid w:val="2D963C58"/>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91571B"/>
    <w:rsid w:val="30A30058"/>
    <w:rsid w:val="30AC7C7A"/>
    <w:rsid w:val="30E80B4C"/>
    <w:rsid w:val="312B28BA"/>
    <w:rsid w:val="312F34BF"/>
    <w:rsid w:val="313C4D53"/>
    <w:rsid w:val="314C0871"/>
    <w:rsid w:val="31575E16"/>
    <w:rsid w:val="317503B0"/>
    <w:rsid w:val="319A2078"/>
    <w:rsid w:val="319D7376"/>
    <w:rsid w:val="31B02B14"/>
    <w:rsid w:val="31F631C3"/>
    <w:rsid w:val="320A1F29"/>
    <w:rsid w:val="320F2B2D"/>
    <w:rsid w:val="32106030"/>
    <w:rsid w:val="32424199"/>
    <w:rsid w:val="324D5E95"/>
    <w:rsid w:val="326D0948"/>
    <w:rsid w:val="329F430C"/>
    <w:rsid w:val="32B87F45"/>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AA39B1"/>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491031"/>
    <w:rsid w:val="44524527"/>
    <w:rsid w:val="445F7FB9"/>
    <w:rsid w:val="4468449B"/>
    <w:rsid w:val="446B2085"/>
    <w:rsid w:val="447E4FEB"/>
    <w:rsid w:val="448623F7"/>
    <w:rsid w:val="448C15B9"/>
    <w:rsid w:val="449B1E65"/>
    <w:rsid w:val="44D16FF4"/>
    <w:rsid w:val="44EA599F"/>
    <w:rsid w:val="45050ABD"/>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21E40"/>
    <w:rsid w:val="474B1C86"/>
    <w:rsid w:val="474E2C0B"/>
    <w:rsid w:val="47626028"/>
    <w:rsid w:val="47656FAD"/>
    <w:rsid w:val="47670FEE"/>
    <w:rsid w:val="47B76948"/>
    <w:rsid w:val="47B76DB7"/>
    <w:rsid w:val="47E0217A"/>
    <w:rsid w:val="47E64083"/>
    <w:rsid w:val="480B0A3F"/>
    <w:rsid w:val="485F6737"/>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9C820BA"/>
    <w:rsid w:val="4A152119"/>
    <w:rsid w:val="4A1C3CA2"/>
    <w:rsid w:val="4A5B32E8"/>
    <w:rsid w:val="4A7346B1"/>
    <w:rsid w:val="4A7843BC"/>
    <w:rsid w:val="4A8017C9"/>
    <w:rsid w:val="4A8E6560"/>
    <w:rsid w:val="4AA13287"/>
    <w:rsid w:val="4AC12232"/>
    <w:rsid w:val="4AC72371"/>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BB6CE0"/>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9F5BD3"/>
    <w:rsid w:val="4FFD5B90"/>
    <w:rsid w:val="50651CDA"/>
    <w:rsid w:val="50B4121E"/>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A705E0"/>
    <w:rsid w:val="54C02717"/>
    <w:rsid w:val="54C620A2"/>
    <w:rsid w:val="54D21907"/>
    <w:rsid w:val="54E028C4"/>
    <w:rsid w:val="54FA15F8"/>
    <w:rsid w:val="54FF3501"/>
    <w:rsid w:val="55023A07"/>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32548A"/>
    <w:rsid w:val="56424E12"/>
    <w:rsid w:val="56A26130"/>
    <w:rsid w:val="56E65920"/>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512008"/>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04304"/>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413D11"/>
    <w:rsid w:val="67673E36"/>
    <w:rsid w:val="6767412F"/>
    <w:rsid w:val="67A7359A"/>
    <w:rsid w:val="67C32ECB"/>
    <w:rsid w:val="67C718D1"/>
    <w:rsid w:val="67E36C7A"/>
    <w:rsid w:val="680726BA"/>
    <w:rsid w:val="68213264"/>
    <w:rsid w:val="682A438F"/>
    <w:rsid w:val="68344483"/>
    <w:rsid w:val="68503DB3"/>
    <w:rsid w:val="68624F20"/>
    <w:rsid w:val="6870183D"/>
    <w:rsid w:val="688776DE"/>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0E4B76"/>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1B63AC"/>
    <w:rsid w:val="6E6D460A"/>
    <w:rsid w:val="6EB56FB1"/>
    <w:rsid w:val="6F085736"/>
    <w:rsid w:val="6F2F55F5"/>
    <w:rsid w:val="6F306560"/>
    <w:rsid w:val="6F663E02"/>
    <w:rsid w:val="6FA974BD"/>
    <w:rsid w:val="6FBA1D55"/>
    <w:rsid w:val="6FE67322"/>
    <w:rsid w:val="701D527E"/>
    <w:rsid w:val="70231C25"/>
    <w:rsid w:val="704F6D52"/>
    <w:rsid w:val="70625B7B"/>
    <w:rsid w:val="70876EAC"/>
    <w:rsid w:val="70C1323B"/>
    <w:rsid w:val="70F10AD9"/>
    <w:rsid w:val="71255AB0"/>
    <w:rsid w:val="71465FE5"/>
    <w:rsid w:val="7150308A"/>
    <w:rsid w:val="71597204"/>
    <w:rsid w:val="717B0243"/>
    <w:rsid w:val="719C3171"/>
    <w:rsid w:val="71A670BA"/>
    <w:rsid w:val="71AF2191"/>
    <w:rsid w:val="71C233B0"/>
    <w:rsid w:val="71D545CF"/>
    <w:rsid w:val="71F21981"/>
    <w:rsid w:val="71FB480F"/>
    <w:rsid w:val="722A1ADB"/>
    <w:rsid w:val="723C16E9"/>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E71522"/>
    <w:rsid w:val="76F04D5F"/>
    <w:rsid w:val="77276A0B"/>
    <w:rsid w:val="77311518"/>
    <w:rsid w:val="777E4E9B"/>
    <w:rsid w:val="77D67AA8"/>
    <w:rsid w:val="77FE53E9"/>
    <w:rsid w:val="7843265A"/>
    <w:rsid w:val="78913A5E"/>
    <w:rsid w:val="78E8551F"/>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link w:val="77"/>
    <w:unhideWhenUsed/>
    <w:qFormat/>
    <w:uiPriority w:val="0"/>
    <w:pPr>
      <w:ind w:left="420" w:leftChars="200" w:firstLine="420" w:firstLineChars="200"/>
    </w:pPr>
    <w:rPr>
      <w:rFonts w:ascii="宋体"/>
    </w:rPr>
  </w:style>
  <w:style w:type="paragraph" w:styleId="3">
    <w:name w:val="Body Text"/>
    <w:basedOn w:val="1"/>
    <w:next w:val="1"/>
    <w:qFormat/>
    <w:uiPriority w:val="0"/>
    <w:pPr>
      <w:spacing w:after="120"/>
    </w:pPr>
    <w:rPr>
      <w:rFonts w:ascii="Times New Roman"/>
    </w:rPr>
  </w:style>
  <w:style w:type="paragraph" w:styleId="7">
    <w:name w:val="Normal Indent"/>
    <w:basedOn w:val="1"/>
    <w:link w:val="32"/>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Indent"/>
    <w:basedOn w:val="1"/>
    <w:link w:val="40"/>
    <w:qFormat/>
    <w:uiPriority w:val="0"/>
    <w:pPr>
      <w:ind w:firstLine="630"/>
    </w:pPr>
    <w:rPr>
      <w:rFonts w:ascii="Times New Roman"/>
      <w:kern w:val="2"/>
      <w:sz w:val="32"/>
    </w:rPr>
  </w:style>
  <w:style w:type="paragraph" w:styleId="10">
    <w:name w:val="Plain Text"/>
    <w:basedOn w:val="1"/>
    <w:link w:val="49"/>
    <w:qFormat/>
    <w:uiPriority w:val="0"/>
    <w:rPr>
      <w:rFonts w:hAnsi="Courier New"/>
      <w:kern w:val="2"/>
      <w:sz w:val="21"/>
    </w:rPr>
  </w:style>
  <w:style w:type="paragraph" w:styleId="11">
    <w:name w:val="Body Text Indent 2"/>
    <w:basedOn w:val="1"/>
    <w:qFormat/>
    <w:uiPriority w:val="0"/>
    <w:pPr>
      <w:ind w:firstLine="630"/>
    </w:pPr>
    <w:rPr>
      <w:sz w:val="32"/>
      <w:szCs w:val="32"/>
    </w:rPr>
  </w:style>
  <w:style w:type="paragraph" w:styleId="12">
    <w:name w:val="Balloon Text"/>
    <w:basedOn w:val="1"/>
    <w:qFormat/>
    <w:uiPriority w:val="0"/>
    <w:rPr>
      <w:rFonts w:ascii="Times New Roman"/>
      <w:sz w:val="18"/>
      <w:szCs w:val="18"/>
    </w:rPr>
  </w:style>
  <w:style w:type="paragraph" w:styleId="13">
    <w:name w:val="footer"/>
    <w:basedOn w:val="1"/>
    <w:qFormat/>
    <w:uiPriority w:val="0"/>
    <w:pPr>
      <w:tabs>
        <w:tab w:val="center" w:pos="4140"/>
        <w:tab w:val="right" w:pos="8300"/>
      </w:tabs>
      <w:jc w:val="left"/>
    </w:pPr>
    <w:rPr>
      <w:sz w:val="18"/>
      <w:szCs w:val="18"/>
    </w:rPr>
  </w:style>
  <w:style w:type="paragraph" w:styleId="14">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5">
    <w:name w:val="toc 1"/>
    <w:basedOn w:val="1"/>
    <w:next w:val="1"/>
    <w:qFormat/>
    <w:uiPriority w:val="0"/>
  </w:style>
  <w:style w:type="paragraph" w:styleId="16">
    <w:name w:val="Body Text Indent 3"/>
    <w:basedOn w:val="1"/>
    <w:qFormat/>
    <w:uiPriority w:val="0"/>
    <w:pPr>
      <w:spacing w:after="120"/>
      <w:ind w:left="420" w:leftChars="200"/>
    </w:pPr>
    <w:rPr>
      <w:rFonts w:ascii="Times New Roman"/>
      <w:sz w:val="16"/>
      <w:szCs w:val="16"/>
    </w:rPr>
  </w:style>
  <w:style w:type="paragraph" w:styleId="17">
    <w:name w:val="toc 2"/>
    <w:basedOn w:val="1"/>
    <w:next w:val="1"/>
    <w:qFormat/>
    <w:uiPriority w:val="0"/>
    <w:pPr>
      <w:ind w:left="420" w:leftChars="200"/>
    </w:pPr>
    <w:rPr>
      <w:rFonts w:ascii="Times New Roman"/>
    </w:rPr>
  </w:style>
  <w:style w:type="paragraph" w:styleId="18">
    <w:name w:val="Body Text 2"/>
    <w:basedOn w:val="1"/>
    <w:qFormat/>
    <w:uiPriority w:val="0"/>
    <w:pPr>
      <w:spacing w:line="480" w:lineRule="auto"/>
    </w:pPr>
    <w:rPr>
      <w:rFonts w:ascii="Times New Roman"/>
    </w:rPr>
  </w:style>
  <w:style w:type="paragraph" w:styleId="19">
    <w:name w:val="Normal (Web)"/>
    <w:basedOn w:val="1"/>
    <w:qFormat/>
    <w:uiPriority w:val="0"/>
    <w:pPr>
      <w:widowControl/>
      <w:spacing w:before="100" w:beforeAutospacing="1" w:after="100" w:afterAutospacing="1"/>
      <w:jc w:val="left"/>
    </w:pPr>
    <w:rPr>
      <w:rFonts w:hAnsi="宋体"/>
      <w:sz w:val="18"/>
      <w:szCs w:val="1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rFonts w:ascii="Times New Roman" w:hAnsi="Times New Roman" w:eastAsia="宋体" w:cs="Times New Roman"/>
      <w:b/>
      <w:bCs/>
    </w:rPr>
  </w:style>
  <w:style w:type="character" w:styleId="24">
    <w:name w:val="page number"/>
    <w:qFormat/>
    <w:uiPriority w:val="0"/>
    <w:rPr>
      <w:rFonts w:ascii="Times New Roman" w:hAnsi="Times New Roman" w:eastAsia="宋体" w:cs="Times New Roman"/>
    </w:rPr>
  </w:style>
  <w:style w:type="character" w:styleId="25">
    <w:name w:val="FollowedHyperlink"/>
    <w:qFormat/>
    <w:uiPriority w:val="0"/>
    <w:rPr>
      <w:rFonts w:ascii="Arial" w:hAnsi="Arial" w:eastAsia="宋体" w:cs="Arial"/>
      <w:color w:val="007CD2"/>
      <w:sz w:val="24"/>
      <w:szCs w:val="24"/>
      <w:u w:val="none"/>
    </w:rPr>
  </w:style>
  <w:style w:type="character" w:styleId="26">
    <w:name w:val="Hyperlink"/>
    <w:qFormat/>
    <w:uiPriority w:val="0"/>
    <w:rPr>
      <w:rFonts w:ascii="Times New Roman" w:hAnsi="Times New Roman" w:eastAsia="宋体" w:cs="Times New Roman"/>
      <w:color w:val="0000FF"/>
      <w:u w:val="single"/>
    </w:rPr>
  </w:style>
  <w:style w:type="character" w:styleId="27">
    <w:name w:val="annotation reference"/>
    <w:qFormat/>
    <w:uiPriority w:val="0"/>
    <w:rPr>
      <w:rFonts w:cs="Times New Roman"/>
      <w:sz w:val="21"/>
      <w:szCs w:val="21"/>
    </w:rPr>
  </w:style>
  <w:style w:type="paragraph" w:customStyle="1" w:styleId="28">
    <w:name w:val="标题 5（有编号）（绿盟科技）"/>
    <w:basedOn w:val="1"/>
    <w:next w:val="2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0">
    <w:name w:val="font31"/>
    <w:qFormat/>
    <w:uiPriority w:val="0"/>
    <w:rPr>
      <w:rFonts w:hint="eastAsia" w:ascii="宋体" w:hAnsi="宋体" w:eastAsia="宋体" w:cs="宋体"/>
      <w:b/>
      <w:color w:val="000000"/>
      <w:sz w:val="22"/>
      <w:szCs w:val="22"/>
      <w:u w:val="none"/>
    </w:rPr>
  </w:style>
  <w:style w:type="character" w:customStyle="1" w:styleId="31">
    <w:name w:val="style1"/>
    <w:qFormat/>
    <w:uiPriority w:val="0"/>
    <w:rPr>
      <w:rFonts w:ascii="Times New Roman" w:hAnsi="Times New Roman" w:eastAsia="宋体" w:cs="Times New Roman"/>
    </w:rPr>
  </w:style>
  <w:style w:type="character" w:customStyle="1" w:styleId="32">
    <w:name w:val="正文缩进 字符"/>
    <w:link w:val="7"/>
    <w:qFormat/>
    <w:uiPriority w:val="0"/>
    <w:rPr>
      <w:rFonts w:ascii="Times New Roman" w:hAnsi="Times New Roman" w:eastAsia="宋体" w:cs="Times New Roman"/>
      <w:kern w:val="2"/>
      <w:sz w:val="21"/>
      <w:szCs w:val="24"/>
      <w:lang w:val="en-US" w:eastAsia="zh-CN" w:bidi="ar-SA"/>
    </w:rPr>
  </w:style>
  <w:style w:type="character" w:customStyle="1" w:styleId="33">
    <w:name w:val="apple-converted-space"/>
    <w:qFormat/>
    <w:uiPriority w:val="0"/>
    <w:rPr>
      <w:rFonts w:ascii="Times New Roman" w:hAnsi="Times New Roman" w:eastAsia="宋体" w:cs="Times New Roman"/>
    </w:rPr>
  </w:style>
  <w:style w:type="character" w:customStyle="1" w:styleId="34">
    <w:name w:val="font81"/>
    <w:qFormat/>
    <w:uiPriority w:val="0"/>
    <w:rPr>
      <w:rFonts w:hint="eastAsia" w:ascii="宋体" w:hAnsi="宋体" w:eastAsia="宋体" w:cs="宋体"/>
      <w:b/>
      <w:color w:val="000000"/>
      <w:sz w:val="22"/>
      <w:szCs w:val="22"/>
      <w:u w:val="none"/>
    </w:rPr>
  </w:style>
  <w:style w:type="character" w:customStyle="1" w:styleId="35">
    <w:name w:val="tdrownotice1"/>
    <w:qFormat/>
    <w:uiPriority w:val="0"/>
    <w:rPr>
      <w:rFonts w:hint="default" w:ascii="Times New Roman" w:hAnsi="Times New Roman" w:eastAsia="宋体" w:cs="Times New Roman"/>
      <w:sz w:val="22"/>
    </w:rPr>
  </w:style>
  <w:style w:type="character" w:customStyle="1" w:styleId="36">
    <w:name w:val="表正文 Char1"/>
    <w:qFormat/>
    <w:uiPriority w:val="0"/>
    <w:rPr>
      <w:rFonts w:ascii="Times New Roman" w:hAnsi="Times New Roman" w:eastAsia="宋体" w:cs="Times New Roman"/>
      <w:kern w:val="2"/>
      <w:sz w:val="21"/>
      <w:szCs w:val="24"/>
      <w:lang w:val="en-US" w:eastAsia="zh-CN" w:bidi="ar-SA"/>
    </w:rPr>
  </w:style>
  <w:style w:type="character" w:customStyle="1" w:styleId="37">
    <w:name w:val="font61"/>
    <w:qFormat/>
    <w:uiPriority w:val="0"/>
    <w:rPr>
      <w:rFonts w:hint="eastAsia" w:ascii="微软雅黑" w:hAnsi="微软雅黑" w:eastAsia="微软雅黑" w:cs="微软雅黑"/>
      <w:b/>
      <w:color w:val="000000"/>
      <w:sz w:val="22"/>
      <w:szCs w:val="22"/>
      <w:u w:val="none"/>
    </w:rPr>
  </w:style>
  <w:style w:type="character" w:customStyle="1" w:styleId="38">
    <w:name w:val="font71"/>
    <w:qFormat/>
    <w:uiPriority w:val="0"/>
    <w:rPr>
      <w:rFonts w:hint="eastAsia" w:ascii="宋体" w:hAnsi="宋体" w:eastAsia="宋体" w:cs="宋体"/>
      <w:color w:val="000000"/>
      <w:sz w:val="20"/>
      <w:szCs w:val="20"/>
      <w:u w:val="none"/>
    </w:rPr>
  </w:style>
  <w:style w:type="character" w:customStyle="1" w:styleId="39">
    <w:name w:val="font01"/>
    <w:qFormat/>
    <w:uiPriority w:val="0"/>
    <w:rPr>
      <w:rFonts w:hint="eastAsia" w:ascii="宋体" w:hAnsi="宋体" w:eastAsia="宋体" w:cs="宋体"/>
      <w:i/>
      <w:color w:val="000000"/>
      <w:sz w:val="20"/>
      <w:szCs w:val="20"/>
      <w:u w:val="none"/>
    </w:rPr>
  </w:style>
  <w:style w:type="character" w:customStyle="1" w:styleId="40">
    <w:name w:val="正文文本缩进 字符"/>
    <w:link w:val="9"/>
    <w:qFormat/>
    <w:uiPriority w:val="0"/>
    <w:rPr>
      <w:rFonts w:ascii="Times New Roman" w:hAnsi="Times New Roman" w:eastAsia="宋体" w:cs="Times New Roman"/>
      <w:kern w:val="2"/>
      <w:sz w:val="32"/>
      <w:lang w:val="en-US" w:eastAsia="zh-CN" w:bidi="ar-SA"/>
    </w:rPr>
  </w:style>
  <w:style w:type="character" w:customStyle="1" w:styleId="41">
    <w:name w:val="页码1"/>
    <w:qFormat/>
    <w:uiPriority w:val="0"/>
    <w:rPr>
      <w:rFonts w:ascii="Times New Roman" w:hAnsi="Times New Roman" w:eastAsia="宋体" w:cs="Times New Roman"/>
    </w:rPr>
  </w:style>
  <w:style w:type="character" w:customStyle="1" w:styleId="42">
    <w:name w:val="font41"/>
    <w:qFormat/>
    <w:uiPriority w:val="0"/>
    <w:rPr>
      <w:rFonts w:hint="eastAsia" w:ascii="宋体" w:hAnsi="宋体" w:eastAsia="宋体" w:cs="宋体"/>
      <w:color w:val="000000"/>
      <w:sz w:val="24"/>
      <w:szCs w:val="24"/>
      <w:u w:val="none"/>
    </w:rPr>
  </w:style>
  <w:style w:type="character" w:customStyle="1" w:styleId="43">
    <w:name w:val="font111"/>
    <w:qFormat/>
    <w:uiPriority w:val="0"/>
    <w:rPr>
      <w:rFonts w:hint="eastAsia" w:ascii="宋体" w:hAnsi="宋体" w:eastAsia="宋体" w:cs="宋体"/>
      <w:b/>
      <w:color w:val="000000"/>
      <w:sz w:val="32"/>
      <w:szCs w:val="32"/>
      <w:u w:val="none"/>
    </w:rPr>
  </w:style>
  <w:style w:type="character" w:customStyle="1" w:styleId="44">
    <w:name w:val="（符号）邀请函中一、"/>
    <w:qFormat/>
    <w:uiPriority w:val="0"/>
    <w:rPr>
      <w:rFonts w:ascii="黑体" w:hAnsi="黑体" w:eastAsia="黑体" w:cs="Times New Roman"/>
      <w:b/>
      <w:bCs/>
      <w:sz w:val="24"/>
    </w:rPr>
  </w:style>
  <w:style w:type="character" w:customStyle="1" w:styleId="45">
    <w:name w:val="font11"/>
    <w:qFormat/>
    <w:uiPriority w:val="0"/>
    <w:rPr>
      <w:rFonts w:hint="eastAsia" w:ascii="宋体" w:hAnsi="宋体" w:eastAsia="宋体" w:cs="宋体"/>
      <w:color w:val="000000"/>
      <w:sz w:val="24"/>
      <w:szCs w:val="24"/>
      <w:u w:val="none"/>
    </w:rPr>
  </w:style>
  <w:style w:type="character" w:customStyle="1" w:styleId="46">
    <w:name w:val="font21"/>
    <w:qFormat/>
    <w:uiPriority w:val="0"/>
    <w:rPr>
      <w:rFonts w:hint="eastAsia" w:ascii="宋体" w:hAnsi="宋体" w:eastAsia="宋体" w:cs="宋体"/>
      <w:color w:val="000000"/>
      <w:sz w:val="20"/>
      <w:szCs w:val="20"/>
      <w:u w:val="none"/>
    </w:rPr>
  </w:style>
  <w:style w:type="character" w:customStyle="1" w:styleId="47">
    <w:name w:val="左对齐的表内文字 Char"/>
    <w:link w:val="48"/>
    <w:qFormat/>
    <w:uiPriority w:val="0"/>
    <w:rPr>
      <w:rFonts w:ascii="Times New Roman" w:hAnsi="Times New Roman" w:eastAsia="仿宋_GB2312" w:cs="Times New Roman"/>
      <w:kern w:val="2"/>
      <w:sz w:val="21"/>
      <w:lang w:bidi="ar-SA"/>
    </w:rPr>
  </w:style>
  <w:style w:type="paragraph" w:customStyle="1" w:styleId="48">
    <w:name w:val="左对齐的表内文字"/>
    <w:basedOn w:val="1"/>
    <w:link w:val="47"/>
    <w:qFormat/>
    <w:uiPriority w:val="0"/>
    <w:rPr>
      <w:rFonts w:ascii="Times New Roman" w:eastAsia="仿宋_GB2312"/>
      <w:kern w:val="2"/>
      <w:sz w:val="21"/>
    </w:rPr>
  </w:style>
  <w:style w:type="character" w:customStyle="1" w:styleId="49">
    <w:name w:val="纯文本 字符"/>
    <w:link w:val="10"/>
    <w:qFormat/>
    <w:uiPriority w:val="0"/>
    <w:rPr>
      <w:rFonts w:ascii="宋体" w:hAnsi="Courier New" w:eastAsia="宋体" w:cs="Times New Roman"/>
      <w:kern w:val="2"/>
      <w:sz w:val="21"/>
      <w:lang w:val="en-US" w:eastAsia="zh-CN" w:bidi="ar-SA"/>
    </w:rPr>
  </w:style>
  <w:style w:type="paragraph" w:customStyle="1" w:styleId="50">
    <w:name w:val="_Style 3"/>
    <w:basedOn w:val="1"/>
    <w:qFormat/>
    <w:uiPriority w:val="34"/>
    <w:pPr>
      <w:ind w:firstLine="420" w:firstLineChars="200"/>
    </w:pPr>
  </w:style>
  <w:style w:type="paragraph" w:customStyle="1" w:styleId="51">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2">
    <w:name w:val="_Style 2"/>
    <w:basedOn w:val="1"/>
    <w:qFormat/>
    <w:uiPriority w:val="34"/>
    <w:pPr>
      <w:ind w:firstLine="420" w:firstLineChars="200"/>
    </w:pPr>
    <w:rPr>
      <w:rFonts w:ascii="Calibri"/>
    </w:rPr>
  </w:style>
  <w:style w:type="paragraph" w:customStyle="1" w:styleId="53">
    <w:name w:val="标准文本"/>
    <w:basedOn w:val="1"/>
    <w:qFormat/>
    <w:uiPriority w:val="0"/>
    <w:pPr>
      <w:spacing w:line="360" w:lineRule="auto"/>
      <w:ind w:firstLine="480" w:firstLineChars="200"/>
    </w:pPr>
    <w:rPr>
      <w:rFonts w:ascii="Times New Roman" w:cs="宋体"/>
      <w:sz w:val="24"/>
    </w:rPr>
  </w:style>
  <w:style w:type="paragraph" w:customStyle="1" w:styleId="54">
    <w:name w:val="正文缩进3"/>
    <w:basedOn w:val="1"/>
    <w:qFormat/>
    <w:uiPriority w:val="0"/>
    <w:pPr>
      <w:autoSpaceDE w:val="0"/>
      <w:autoSpaceDN w:val="0"/>
      <w:adjustRightInd w:val="0"/>
      <w:ind w:firstLine="420"/>
    </w:pPr>
    <w:rPr>
      <w:rFonts w:ascii="Times New Roman"/>
      <w:szCs w:val="21"/>
    </w:rPr>
  </w:style>
  <w:style w:type="paragraph" w:customStyle="1" w:styleId="55">
    <w:name w:val="表格"/>
    <w:basedOn w:val="1"/>
    <w:qFormat/>
    <w:uiPriority w:val="0"/>
    <w:pPr>
      <w:spacing w:line="400" w:lineRule="exact"/>
    </w:pPr>
    <w:rPr>
      <w:rFonts w:ascii="Times New Roman"/>
      <w:sz w:val="24"/>
    </w:rPr>
  </w:style>
  <w:style w:type="paragraph" w:styleId="56">
    <w:name w:val="List Paragraph"/>
    <w:basedOn w:val="1"/>
    <w:qFormat/>
    <w:uiPriority w:val="0"/>
    <w:pPr>
      <w:ind w:firstLine="420" w:firstLineChars="200"/>
    </w:pPr>
    <w:rPr>
      <w:rFonts w:ascii="Times New Roman"/>
      <w:sz w:val="18"/>
      <w:szCs w:val="18"/>
    </w:rPr>
  </w:style>
  <w:style w:type="paragraph" w:customStyle="1" w:styleId="57">
    <w:name w:val="Char1 Char Char Char"/>
    <w:basedOn w:val="1"/>
    <w:qFormat/>
    <w:uiPriority w:val="0"/>
    <w:rPr>
      <w:rFonts w:ascii="Times New Roman" w:eastAsia="仿宋_GB2312"/>
      <w:sz w:val="28"/>
    </w:rPr>
  </w:style>
  <w:style w:type="paragraph" w:customStyle="1" w:styleId="58">
    <w:name w:val="正文首行缩进两字符"/>
    <w:basedOn w:val="1"/>
    <w:qFormat/>
    <w:uiPriority w:val="0"/>
    <w:pPr>
      <w:spacing w:line="360" w:lineRule="auto"/>
      <w:ind w:firstLine="200" w:firstLineChars="200"/>
    </w:pPr>
    <w:rPr>
      <w:rFonts w:ascii="Times New Roman"/>
    </w:rPr>
  </w:style>
  <w:style w:type="paragraph" w:customStyle="1" w:styleId="59">
    <w:name w:val="Body Text 22"/>
    <w:basedOn w:val="1"/>
    <w:qFormat/>
    <w:uiPriority w:val="0"/>
    <w:pPr>
      <w:adjustRightInd w:val="0"/>
      <w:spacing w:line="300" w:lineRule="auto"/>
      <w:jc w:val="center"/>
      <w:textAlignment w:val="baseline"/>
    </w:pPr>
    <w:rPr>
      <w:rFonts w:hAnsi="宋体"/>
      <w:sz w:val="24"/>
    </w:rPr>
  </w:style>
  <w:style w:type="paragraph" w:customStyle="1" w:styleId="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1">
    <w:name w:val="列出段落1"/>
    <w:basedOn w:val="1"/>
    <w:qFormat/>
    <w:uiPriority w:val="0"/>
    <w:pPr>
      <w:ind w:firstLine="420" w:firstLineChars="200"/>
    </w:pPr>
    <w:rPr>
      <w:rFonts w:ascii="Times New Roman"/>
    </w:rPr>
  </w:style>
  <w:style w:type="paragraph" w:customStyle="1" w:styleId="62">
    <w:name w:val="p0"/>
    <w:basedOn w:val="1"/>
    <w:qFormat/>
    <w:uiPriority w:val="0"/>
    <w:pPr>
      <w:widowControl/>
    </w:pPr>
    <w:rPr>
      <w:rFonts w:ascii="Times New Roman"/>
      <w:szCs w:val="21"/>
    </w:rPr>
  </w:style>
  <w:style w:type="paragraph" w:customStyle="1" w:styleId="63">
    <w:name w:val="左对齐的表内文字1"/>
    <w:basedOn w:val="1"/>
    <w:qFormat/>
    <w:uiPriority w:val="0"/>
    <w:rPr>
      <w:rFonts w:ascii="Times New Roman"/>
    </w:rPr>
  </w:style>
  <w:style w:type="paragraph" w:customStyle="1" w:styleId="64">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5">
    <w:name w:val="List Paragraph1"/>
    <w:basedOn w:val="1"/>
    <w:qFormat/>
    <w:uiPriority w:val="99"/>
    <w:pPr>
      <w:ind w:firstLine="420" w:firstLineChars="200"/>
    </w:pPr>
    <w:rPr>
      <w:rFonts w:ascii="Times New Roman"/>
      <w:szCs w:val="34"/>
    </w:rPr>
  </w:style>
  <w:style w:type="paragraph" w:customStyle="1" w:styleId="66">
    <w:name w:val="0"/>
    <w:qFormat/>
    <w:uiPriority w:val="0"/>
    <w:pPr>
      <w:snapToGrid w:val="0"/>
    </w:pPr>
    <w:rPr>
      <w:rFonts w:ascii="Calibri" w:hAnsi="Calibri" w:eastAsia="宋体" w:cs="Times New Roman"/>
      <w:lang w:val="en-US" w:eastAsia="zh-CN" w:bidi="ar-SA"/>
    </w:rPr>
  </w:style>
  <w:style w:type="paragraph" w:customStyle="1" w:styleId="67">
    <w:name w:val="pa-8"/>
    <w:basedOn w:val="1"/>
    <w:qFormat/>
    <w:uiPriority w:val="0"/>
    <w:pPr>
      <w:widowControl/>
      <w:spacing w:before="150" w:after="150"/>
      <w:jc w:val="left"/>
    </w:pPr>
    <w:rPr>
      <w:rFonts w:hAnsi="宋体" w:cs="宋体"/>
      <w:sz w:val="24"/>
      <w:szCs w:val="24"/>
    </w:rPr>
  </w:style>
  <w:style w:type="paragraph" w:customStyle="1" w:styleId="68">
    <w:name w:val="+正文"/>
    <w:basedOn w:val="1"/>
    <w:qFormat/>
    <w:uiPriority w:val="0"/>
    <w:pPr>
      <w:spacing w:line="360" w:lineRule="auto"/>
      <w:ind w:firstLine="200" w:firstLineChars="200"/>
    </w:pPr>
    <w:rPr>
      <w:rFonts w:ascii="Times New Roman" w:eastAsia="楷体_GB2312"/>
      <w:szCs w:val="28"/>
    </w:rPr>
  </w:style>
  <w:style w:type="paragraph" w:styleId="69">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70">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1">
    <w:name w:val="样式 首行缩进:  2 字符"/>
    <w:basedOn w:val="1"/>
    <w:qFormat/>
    <w:uiPriority w:val="0"/>
    <w:pPr>
      <w:spacing w:line="400" w:lineRule="exact"/>
      <w:ind w:firstLine="200" w:firstLineChars="200"/>
    </w:pPr>
    <w:rPr>
      <w:rFonts w:ascii="Times New Roman" w:cs="宋体"/>
      <w:sz w:val="24"/>
    </w:rPr>
  </w:style>
  <w:style w:type="paragraph" w:customStyle="1" w:styleId="72">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3">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4">
    <w:name w:val="首行缩进"/>
    <w:basedOn w:val="1"/>
    <w:qFormat/>
    <w:uiPriority w:val="99"/>
    <w:pPr>
      <w:spacing w:line="360" w:lineRule="auto"/>
      <w:ind w:firstLine="480" w:firstLineChars="200"/>
      <w:jc w:val="left"/>
    </w:pPr>
    <w:rPr>
      <w:rFonts w:hAnsi="宋体"/>
      <w:sz w:val="24"/>
    </w:rPr>
  </w:style>
  <w:style w:type="paragraph" w:customStyle="1" w:styleId="75">
    <w:name w:val="正文 A"/>
    <w:next w:val="76"/>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77">
    <w:name w:val="正文首行缩进 2 字符"/>
    <w:basedOn w:val="40"/>
    <w:link w:val="2"/>
    <w:qFormat/>
    <w:uiPriority w:val="0"/>
    <w:rPr>
      <w:rFonts w:ascii="宋体" w:hAnsi="Calibri" w:eastAsia="宋体" w:cs="Times New Roman"/>
      <w:kern w:val="2"/>
      <w:sz w:val="34"/>
      <w:lang w:val="en-US" w:eastAsia="zh-CN" w:bidi="ar-SA"/>
    </w:rPr>
  </w:style>
  <w:style w:type="paragraph" w:customStyle="1" w:styleId="78">
    <w:name w:val="Table Paragraph"/>
    <w:basedOn w:val="1"/>
    <w:qFormat/>
    <w:uiPriority w:val="1"/>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28</Pages>
  <Words>12327</Words>
  <Characters>13115</Characters>
  <Lines>102</Lines>
  <Paragraphs>28</Paragraphs>
  <TotalTime>25</TotalTime>
  <ScaleCrop>false</ScaleCrop>
  <LinksUpToDate>false</LinksUpToDate>
  <CharactersWithSpaces>13554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2022-07-26T04:53:00Z</cp:lastPrinted>
  <dcterms:modified xsi:type="dcterms:W3CDTF">2022-08-18T02:19:09Z</dcterms:modified>
  <dc:title>招标编号：SCSZ-2013-02</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E7558D7948BD46B49D504D1EAC59F27E</vt:lpwstr>
  </property>
</Properties>
</file>