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int="eastAsia" w:hAnsi="宋体" w:cs="宋体"/>
          <w:bCs/>
          <w:sz w:val="36"/>
          <w:szCs w:val="36"/>
          <w:lang w:val="en-US" w:eastAsia="zh-CN"/>
        </w:rPr>
      </w:pPr>
      <w:r>
        <w:rPr>
          <w:rFonts w:hint="eastAsia" w:hAnsi="宋体" w:cs="宋体"/>
          <w:bCs/>
          <w:sz w:val="36"/>
          <w:szCs w:val="36"/>
        </w:rPr>
        <w:t>公共教学部课程思政</w:t>
      </w:r>
      <w:r>
        <w:rPr>
          <w:rFonts w:hAnsi="宋体" w:cs="宋体"/>
          <w:bCs/>
          <w:sz w:val="36"/>
          <w:szCs w:val="36"/>
        </w:rPr>
        <w:t>建设项目</w:t>
      </w:r>
      <w:r>
        <w:rPr>
          <w:rFonts w:hint="eastAsia" w:hAnsi="宋体" w:cs="宋体"/>
          <w:bCs/>
          <w:sz w:val="36"/>
          <w:szCs w:val="36"/>
          <w:lang w:val="en-US" w:eastAsia="zh-CN"/>
        </w:rPr>
        <w:t>第2次</w:t>
      </w:r>
    </w:p>
    <w:p>
      <w:pPr>
        <w:snapToGrid w:val="0"/>
        <w:spacing w:line="360" w:lineRule="auto"/>
        <w:ind w:firstLine="300" w:firstLineChars="100"/>
        <w:jc w:val="center"/>
        <w:rPr>
          <w:rFonts w:hint="default" w:hAnsi="宋体" w:eastAsia="宋体" w:cs="宋体"/>
          <w:bCs/>
          <w:color w:val="000000" w:themeColor="text1"/>
          <w:sz w:val="30"/>
          <w:szCs w:val="30"/>
          <w:lang w:val="en-US" w:eastAsia="zh-CN"/>
          <w14:textFill>
            <w14:solidFill>
              <w14:schemeClr w14:val="tx1"/>
            </w14:solidFill>
          </w14:textFill>
        </w:rPr>
      </w:pPr>
      <w:r>
        <w:rPr>
          <w:rFonts w:hint="eastAsia" w:hAnsi="宋体" w:cs="宋体"/>
          <w:bCs/>
          <w:sz w:val="30"/>
          <w:szCs w:val="30"/>
        </w:rPr>
        <w:t>采购编号：TZY-ZB-</w:t>
      </w:r>
      <w:r>
        <w:rPr>
          <w:rFonts w:hint="eastAsia" w:hAnsi="宋体" w:cs="宋体"/>
          <w:bCs/>
          <w:color w:val="000000" w:themeColor="text1"/>
          <w:sz w:val="30"/>
          <w:szCs w:val="30"/>
          <w14:textFill>
            <w14:solidFill>
              <w14:schemeClr w14:val="tx1"/>
            </w14:solidFill>
          </w14:textFill>
        </w:rPr>
        <w:t>2022</w:t>
      </w:r>
      <w:r>
        <w:rPr>
          <w:rFonts w:hAnsi="宋体" w:cs="宋体"/>
          <w:bCs/>
          <w:color w:val="000000" w:themeColor="text1"/>
          <w:sz w:val="30"/>
          <w:szCs w:val="30"/>
          <w14:textFill>
            <w14:solidFill>
              <w14:schemeClr w14:val="tx1"/>
            </w14:solidFill>
          </w14:textFill>
        </w:rPr>
        <w:t>02</w:t>
      </w:r>
      <w:r>
        <w:rPr>
          <w:rFonts w:hint="eastAsia" w:hAnsi="宋体" w:cs="宋体"/>
          <w:bCs/>
          <w:color w:val="000000" w:themeColor="text1"/>
          <w:sz w:val="30"/>
          <w:szCs w:val="30"/>
          <w14:textFill>
            <w14:solidFill>
              <w14:schemeClr w14:val="tx1"/>
            </w14:solidFill>
          </w14:textFill>
        </w:rPr>
        <w:t>3</w:t>
      </w:r>
      <w:r>
        <w:rPr>
          <w:rFonts w:hint="eastAsia" w:hAnsi="宋体" w:cs="宋体"/>
          <w:bCs/>
          <w:color w:val="000000" w:themeColor="text1"/>
          <w:sz w:val="30"/>
          <w:szCs w:val="30"/>
          <w:lang w:val="en-US" w:eastAsia="zh-CN"/>
          <w14:textFill>
            <w14:solidFill>
              <w14:schemeClr w14:val="tx1"/>
            </w14:solidFill>
          </w14:textFill>
        </w:rPr>
        <w:t>-1</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 xml:space="preserve"> </w:t>
      </w:r>
      <w:r>
        <w:rPr>
          <w:rFonts w:hint="eastAsia" w:hAnsi="宋体" w:cs="宋体"/>
          <w:bCs/>
          <w:sz w:val="30"/>
          <w:szCs w:val="30"/>
          <w:lang w:val="en-US" w:eastAsia="zh-CN"/>
        </w:rPr>
        <w:t>9</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6"/>
          <w:rFonts w:ascii="宋体" w:hAnsi="宋体" w:cs="宋体"/>
          <w:color w:val="auto"/>
          <w:kern w:val="2"/>
          <w:sz w:val="44"/>
          <w:szCs w:val="44"/>
          <w:u w:val="none"/>
        </w:rPr>
      </w:pPr>
      <w:r>
        <w:rPr>
          <w:rStyle w:val="26"/>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5"/>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6</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25</w:t>
      </w:r>
    </w:p>
    <w:p>
      <w:pPr>
        <w:pStyle w:val="15"/>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7</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0896"/>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四川铁道职业学院 </w:t>
      </w:r>
      <w:r>
        <w:rPr>
          <w:rFonts w:hint="eastAsia" w:hAnsi="宋体" w:cs="宋体"/>
          <w:bCs/>
          <w:sz w:val="24"/>
          <w:szCs w:val="24"/>
        </w:rPr>
        <w:t>就</w:t>
      </w:r>
      <w:r>
        <w:rPr>
          <w:rFonts w:hint="eastAsia" w:hAnsi="宋体" w:cs="宋体"/>
          <w:bCs/>
          <w:sz w:val="24"/>
          <w:szCs w:val="24"/>
          <w:u w:val="single"/>
        </w:rPr>
        <w:t>公共教学部课程思政建设</w:t>
      </w:r>
      <w:r>
        <w:rPr>
          <w:rFonts w:hint="eastAsia" w:hAnsi="宋体" w:cs="宋体"/>
          <w:bCs/>
          <w:sz w:val="24"/>
          <w:szCs w:val="24"/>
          <w:u w:val="single"/>
          <w:lang w:val="en-US" w:eastAsia="zh-CN"/>
        </w:rPr>
        <w:t>第2次</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hAnsi="宋体" w:cs="宋体"/>
          <w:color w:val="000000" w:themeColor="text1"/>
          <w:sz w:val="24"/>
          <w:szCs w:val="24"/>
          <w:shd w:val="clear" w:color="auto" w:fill="FFFFFF"/>
          <w14:textFill>
            <w14:solidFill>
              <w14:schemeClr w14:val="tx1"/>
            </w14:solidFill>
          </w14:textFill>
        </w:rPr>
      </w:pPr>
      <w:r>
        <w:rPr>
          <w:rFonts w:hint="eastAsia" w:ascii="宋体" w:hAnsi="宋体" w:cs="宋体"/>
          <w:b/>
          <w:sz w:val="24"/>
          <w:szCs w:val="24"/>
        </w:rPr>
        <w:t>招标编号：</w:t>
      </w:r>
      <w:r>
        <w:rPr>
          <w:rFonts w:hAnsi="宋体" w:cs="宋体"/>
          <w:color w:val="000000" w:themeColor="text1"/>
          <w:sz w:val="24"/>
          <w:szCs w:val="24"/>
          <w:shd w:val="clear" w:color="auto" w:fill="FFFFFF"/>
          <w14:textFill>
            <w14:solidFill>
              <w14:schemeClr w14:val="tx1"/>
            </w14:solidFill>
          </w14:textFill>
        </w:rPr>
        <w:t xml:space="preserve"> </w:t>
      </w:r>
      <w:r>
        <w:rPr>
          <w:rFonts w:hint="eastAsia" w:hAnsi="宋体" w:cs="宋体"/>
          <w:color w:val="000000" w:themeColor="text1"/>
          <w:sz w:val="24"/>
          <w:szCs w:val="24"/>
          <w:shd w:val="clear" w:color="auto" w:fill="FFFFFF"/>
          <w14:textFill>
            <w14:solidFill>
              <w14:schemeClr w14:val="tx1"/>
            </w14:solidFill>
          </w14:textFill>
        </w:rPr>
        <w:t>TZY--ZB-2022023</w:t>
      </w:r>
      <w:r>
        <w:rPr>
          <w:rFonts w:hint="eastAsia" w:hAnsi="宋体" w:cs="宋体"/>
          <w:color w:val="000000" w:themeColor="text1"/>
          <w:sz w:val="24"/>
          <w:szCs w:val="24"/>
          <w:shd w:val="clear" w:color="auto" w:fill="FFFFFF"/>
          <w:lang w:val="en-US" w:eastAsia="zh-CN"/>
          <w14:textFill>
            <w14:solidFill>
              <w14:schemeClr w14:val="tx1"/>
            </w14:solidFill>
          </w14:textFill>
        </w:rPr>
        <w:t>-1</w:t>
      </w:r>
    </w:p>
    <w:p>
      <w:pPr>
        <w:pStyle w:val="9"/>
        <w:numPr>
          <w:ilvl w:val="0"/>
          <w:numId w:val="2"/>
        </w:numPr>
        <w:snapToGrid w:val="0"/>
        <w:spacing w:line="360" w:lineRule="auto"/>
        <w:ind w:firstLine="441" w:firstLineChars="183"/>
        <w:rPr>
          <w:rFonts w:ascii="宋体" w:hAnsi="宋体" w:cs="宋体"/>
          <w:sz w:val="24"/>
          <w:szCs w:val="24"/>
          <w:lang w:val="zh-CN"/>
        </w:rPr>
      </w:pPr>
      <w:r>
        <w:rPr>
          <w:rFonts w:hint="eastAsia" w:ascii="宋体" w:hAnsi="宋体" w:cs="宋体"/>
          <w:b/>
          <w:sz w:val="24"/>
          <w:szCs w:val="24"/>
        </w:rPr>
        <w:t>招标项目：</w:t>
      </w:r>
      <w:r>
        <w:rPr>
          <w:rFonts w:hint="eastAsia" w:ascii="宋体" w:hAnsi="宋体" w:cs="宋体"/>
          <w:b/>
          <w:sz w:val="24"/>
          <w:szCs w:val="24"/>
          <w:u w:val="single"/>
        </w:rPr>
        <w:t xml:space="preserve">  </w:t>
      </w:r>
      <w:r>
        <w:rPr>
          <w:rFonts w:hint="eastAsia" w:hAnsi="宋体" w:cs="宋体"/>
          <w:b/>
          <w:bCs/>
          <w:sz w:val="24"/>
          <w:szCs w:val="24"/>
          <w:u w:val="single"/>
        </w:rPr>
        <w:t>公共教学部课程思政建设</w:t>
      </w:r>
      <w:r>
        <w:rPr>
          <w:rFonts w:hint="eastAsia" w:hAnsi="宋体" w:cs="宋体"/>
          <w:b/>
          <w:bCs/>
          <w:sz w:val="24"/>
          <w:szCs w:val="24"/>
          <w:u w:val="single"/>
          <w:lang w:val="en-US" w:eastAsia="zh-CN"/>
        </w:rPr>
        <w:t>第2次</w:t>
      </w:r>
      <w:r>
        <w:rPr>
          <w:rFonts w:hint="eastAsia" w:hAnsi="宋体"/>
          <w:color w:val="000000"/>
          <w:sz w:val="24"/>
          <w:szCs w:val="24"/>
          <w:u w:val="single"/>
        </w:rPr>
        <w:t xml:space="preserve"> </w:t>
      </w:r>
      <w:r>
        <w:rPr>
          <w:rFonts w:hint="eastAsia" w:ascii="宋体" w:hAnsi="宋体" w:cs="宋体"/>
          <w:bCs/>
          <w:sz w:val="24"/>
          <w:szCs w:val="24"/>
          <w:u w:val="single"/>
        </w:rPr>
        <w:t xml:space="preserve"> </w:t>
      </w:r>
      <w:r>
        <w:rPr>
          <w:rFonts w:hint="eastAsia" w:ascii="宋体" w:hAnsi="宋体" w:cs="宋体"/>
          <w:bCs/>
          <w:sz w:val="24"/>
          <w:szCs w:val="24"/>
        </w:rPr>
        <w:t>项目</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960" w:firstLineChars="400"/>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1.具有独立承担民事责任的能力；</w:t>
      </w:r>
    </w:p>
    <w:p>
      <w:pPr>
        <w:snapToGrid w:val="0"/>
        <w:spacing w:line="360" w:lineRule="auto"/>
        <w:ind w:firstLine="480" w:firstLineChars="200"/>
        <w:rPr>
          <w:rFonts w:hAnsi="宋体" w:cs="宋体"/>
          <w:sz w:val="24"/>
          <w:szCs w:val="24"/>
        </w:rPr>
      </w:pPr>
      <w:r>
        <w:rPr>
          <w:rFonts w:hint="eastAsia" w:hAnsi="宋体" w:cs="宋体"/>
          <w:sz w:val="24"/>
          <w:szCs w:val="24"/>
        </w:rPr>
        <w:t>2.具有良好的商业信誉和健全的财务会计制度；</w:t>
      </w:r>
    </w:p>
    <w:p>
      <w:pPr>
        <w:snapToGrid w:val="0"/>
        <w:spacing w:line="360" w:lineRule="auto"/>
        <w:ind w:firstLine="480" w:firstLineChars="200"/>
        <w:rPr>
          <w:rFonts w:hAnsi="宋体" w:cs="宋体"/>
          <w:sz w:val="24"/>
          <w:szCs w:val="24"/>
        </w:rPr>
      </w:pPr>
      <w:r>
        <w:rPr>
          <w:rFonts w:hint="eastAsia" w:hAnsi="宋体" w:cs="宋体"/>
          <w:sz w:val="24"/>
          <w:szCs w:val="24"/>
        </w:rPr>
        <w:t>3.具有履行合同所必须的设备和专业技术能力；</w:t>
      </w:r>
    </w:p>
    <w:p>
      <w:pPr>
        <w:snapToGrid w:val="0"/>
        <w:spacing w:line="360" w:lineRule="auto"/>
        <w:ind w:firstLine="480" w:firstLineChars="200"/>
        <w:rPr>
          <w:rFonts w:hAnsi="宋体" w:cs="宋体"/>
          <w:sz w:val="24"/>
          <w:szCs w:val="24"/>
        </w:rPr>
      </w:pPr>
      <w:r>
        <w:rPr>
          <w:rFonts w:hint="eastAsia" w:hAnsi="宋体" w:cs="宋体"/>
          <w:sz w:val="24"/>
          <w:szCs w:val="24"/>
        </w:rPr>
        <w:t>4.具有依法缴纳税收和社会保障资金的良好记录；</w:t>
      </w:r>
    </w:p>
    <w:p>
      <w:pPr>
        <w:snapToGrid w:val="0"/>
        <w:spacing w:line="360" w:lineRule="auto"/>
        <w:ind w:firstLine="480" w:firstLineChars="200"/>
        <w:rPr>
          <w:rFonts w:hAnsi="宋体" w:cs="宋体"/>
          <w:sz w:val="24"/>
          <w:szCs w:val="24"/>
        </w:rPr>
      </w:pPr>
      <w:r>
        <w:rPr>
          <w:rFonts w:hint="eastAsia" w:hAnsi="宋体" w:cs="宋体"/>
          <w:sz w:val="24"/>
          <w:szCs w:val="24"/>
        </w:rPr>
        <w:t>5.参加本次政府采购活动前三年内，在经营活动中没有重大违法违规记录；</w:t>
      </w:r>
    </w:p>
    <w:p>
      <w:pPr>
        <w:widowControl/>
        <w:ind w:left="716" w:leftChars="140" w:hanging="240" w:hangingChars="100"/>
        <w:jc w:val="left"/>
        <w:rPr>
          <w:rFonts w:hAnsi="宋体" w:cs="宋体"/>
          <w:sz w:val="24"/>
          <w:szCs w:val="24"/>
        </w:rPr>
      </w:pPr>
      <w:r>
        <w:rPr>
          <w:rFonts w:hint="eastAsia" w:hAnsi="宋体" w:cs="宋体"/>
          <w:sz w:val="24"/>
          <w:szCs w:val="24"/>
        </w:rPr>
        <w:t>6.供应商需提供四川省内本科或高职院校使用证明文件（</w:t>
      </w:r>
      <w:r>
        <w:rPr>
          <w:rFonts w:hAnsi="宋体" w:cs="宋体"/>
          <w:sz w:val="24"/>
          <w:szCs w:val="24"/>
          <w:lang w:bidi="ar"/>
        </w:rPr>
        <w:t>提供网络通识课程合同业绩案例</w:t>
      </w:r>
      <w:r>
        <w:rPr>
          <w:rFonts w:hint="eastAsia" w:hAnsi="宋体" w:cs="宋体"/>
          <w:sz w:val="24"/>
          <w:szCs w:val="24"/>
          <w:lang w:bidi="ar"/>
        </w:rPr>
        <w:t>）</w:t>
      </w:r>
    </w:p>
    <w:p>
      <w:pPr>
        <w:snapToGrid w:val="0"/>
        <w:spacing w:line="360" w:lineRule="auto"/>
        <w:ind w:firstLine="480" w:firstLineChars="200"/>
        <w:rPr>
          <w:rFonts w:hAnsi="宋体" w:cs="宋体"/>
          <w:sz w:val="24"/>
          <w:szCs w:val="24"/>
        </w:rPr>
      </w:pPr>
      <w:r>
        <w:rPr>
          <w:rFonts w:hint="eastAsia" w:hAnsi="宋体" w:cs="宋体"/>
          <w:sz w:val="24"/>
          <w:szCs w:val="24"/>
        </w:rPr>
        <w:t>7.法律、行政法规规定的其他条件。</w:t>
      </w:r>
    </w:p>
    <w:p>
      <w:pPr>
        <w:snapToGrid w:val="0"/>
        <w:spacing w:line="360" w:lineRule="auto"/>
        <w:ind w:firstLine="479" w:firstLineChars="199"/>
        <w:rPr>
          <w:rFonts w:hAnsi="宋体" w:cs="宋体"/>
          <w:b/>
          <w:sz w:val="24"/>
          <w:szCs w:val="24"/>
        </w:rPr>
      </w:pPr>
    </w:p>
    <w:p>
      <w:pPr>
        <w:snapToGrid w:val="0"/>
        <w:spacing w:line="360" w:lineRule="auto"/>
        <w:ind w:firstLine="479" w:firstLineChars="199"/>
        <w:rPr>
          <w:rFonts w:hAnsi="宋体" w:cs="宋体"/>
          <w:color w:val="FF0000"/>
          <w:sz w:val="24"/>
          <w:szCs w:val="24"/>
        </w:rPr>
      </w:pPr>
      <w:r>
        <w:rPr>
          <w:rFonts w:hint="eastAsia" w:hAnsi="宋体" w:cs="宋体"/>
          <w:b/>
          <w:sz w:val="24"/>
          <w:szCs w:val="24"/>
        </w:rPr>
        <w:t>六、投标截止时间和开标时间：</w:t>
      </w:r>
      <w:r>
        <w:rPr>
          <w:rFonts w:hint="eastAsia" w:hAnsi="宋体" w:cs="宋体"/>
          <w:bCs/>
          <w:sz w:val="24"/>
          <w:szCs w:val="24"/>
          <w:highlight w:val="none"/>
        </w:rPr>
        <w:t>2022年</w:t>
      </w:r>
      <w:r>
        <w:rPr>
          <w:rFonts w:hint="eastAsia" w:hAnsi="宋体" w:cs="宋体"/>
          <w:bCs/>
          <w:sz w:val="24"/>
          <w:szCs w:val="24"/>
          <w:highlight w:val="none"/>
          <w:lang w:val="en-US" w:eastAsia="zh-CN"/>
        </w:rPr>
        <w:t>9</w:t>
      </w:r>
      <w:r>
        <w:rPr>
          <w:rFonts w:hint="eastAsia" w:hAnsi="宋体" w:cs="宋体"/>
          <w:bCs/>
          <w:sz w:val="24"/>
          <w:szCs w:val="24"/>
          <w:highlight w:val="none"/>
        </w:rPr>
        <w:t>月</w:t>
      </w:r>
      <w:r>
        <w:rPr>
          <w:rFonts w:hint="eastAsia" w:hAnsi="宋体" w:cs="宋体"/>
          <w:bCs/>
          <w:sz w:val="24"/>
          <w:szCs w:val="24"/>
          <w:highlight w:val="none"/>
          <w:lang w:val="en-US" w:eastAsia="zh-CN"/>
        </w:rPr>
        <w:t>07</w:t>
      </w:r>
      <w:r>
        <w:rPr>
          <w:rFonts w:hAnsi="宋体" w:cs="宋体"/>
          <w:bCs/>
          <w:sz w:val="24"/>
          <w:szCs w:val="24"/>
          <w:highlight w:val="none"/>
        </w:rPr>
        <w:t xml:space="preserve"> </w:t>
      </w:r>
      <w:r>
        <w:rPr>
          <w:rFonts w:hint="eastAsia" w:hAnsi="宋体" w:cs="宋体"/>
          <w:bCs/>
          <w:sz w:val="24"/>
          <w:szCs w:val="24"/>
          <w:highlight w:val="none"/>
        </w:rPr>
        <w:t>日10:00</w:t>
      </w:r>
      <w:r>
        <w:rPr>
          <w:rFonts w:hint="eastAsia" w:hAnsi="宋体" w:cs="宋体"/>
          <w:sz w:val="24"/>
          <w:szCs w:val="24"/>
          <w:highlight w:val="none"/>
        </w:rPr>
        <w:t>（</w:t>
      </w:r>
      <w:r>
        <w:rPr>
          <w:rFonts w:hint="eastAsia" w:hAnsi="宋体" w:cs="宋体"/>
          <w:sz w:val="24"/>
          <w:szCs w:val="24"/>
        </w:rPr>
        <w:t>北京时间）。</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color w:val="000000"/>
          <w:sz w:val="24"/>
        </w:rPr>
        <w:t>成都市郫都区安德街道彭温路399号四川铁道职业学院后勤基建办公区2F开标室</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特别说明：因疫情期间，为保证安全，请前来投标的商家戴好口罩，准备健康二维码，服从学校管理，做好个人防护。</w:t>
      </w:r>
    </w:p>
    <w:p>
      <w:pPr>
        <w:pStyle w:val="9"/>
        <w:snapToGrid w:val="0"/>
        <w:spacing w:line="360" w:lineRule="auto"/>
        <w:ind w:firstLine="482" w:firstLineChars="200"/>
        <w:rPr>
          <w:rFonts w:hAnsi="宋体" w:cs="宋体"/>
          <w:b/>
          <w:bCs/>
          <w:sz w:val="24"/>
          <w:szCs w:val="24"/>
        </w:rPr>
      </w:pPr>
    </w:p>
    <w:p>
      <w:pPr>
        <w:pStyle w:val="9"/>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color w:val="000000"/>
          <w:sz w:val="24"/>
        </w:rPr>
        <w:t>成都市郫都区安德街道彭温路399号四川铁道职业学院后勤基建办公区2F开标室</w:t>
      </w:r>
      <w:r>
        <w:rPr>
          <w:rFonts w:hint="eastAsia" w:ascii="宋体" w:hAnsi="宋体" w:cs="宋体"/>
          <w:sz w:val="24"/>
          <w:szCs w:val="24"/>
        </w:rPr>
        <w:t>。</w:t>
      </w: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479" w:firstLineChars="199"/>
        <w:rPr>
          <w:rFonts w:hAnsi="宋体" w:cs="宋体"/>
          <w:b/>
          <w:sz w:val="24"/>
          <w:szCs w:val="24"/>
        </w:rPr>
      </w:pPr>
    </w:p>
    <w:p>
      <w:pPr>
        <w:pStyle w:val="58"/>
        <w:snapToGrid w:val="0"/>
        <w:ind w:firstLine="961" w:firstLineChars="399"/>
        <w:rPr>
          <w:rFonts w:hAnsi="宋体" w:cs="宋体"/>
          <w:b/>
          <w:sz w:val="24"/>
          <w:szCs w:val="24"/>
        </w:rPr>
      </w:pPr>
      <w:r>
        <w:rPr>
          <w:rFonts w:hint="eastAsia" w:hAnsi="宋体" w:cs="宋体"/>
          <w:b/>
          <w:sz w:val="24"/>
          <w:szCs w:val="24"/>
        </w:rPr>
        <w:t>八、联系方式</w:t>
      </w:r>
    </w:p>
    <w:p>
      <w:pPr>
        <w:pStyle w:val="58"/>
        <w:snapToGrid w:val="0"/>
        <w:ind w:firstLine="950" w:firstLineChars="396"/>
        <w:rPr>
          <w:rFonts w:hAnsi="宋体" w:cs="宋体"/>
          <w:snapToGrid w:val="0"/>
          <w:sz w:val="24"/>
        </w:rPr>
      </w:pPr>
      <w:r>
        <w:rPr>
          <w:rFonts w:hint="eastAsia" w:hAnsi="宋体" w:cs="宋体"/>
          <w:snapToGrid w:val="0"/>
          <w:sz w:val="24"/>
        </w:rPr>
        <w:t>采 购 人：四川铁道职业学院</w:t>
      </w:r>
    </w:p>
    <w:p>
      <w:pPr>
        <w:pStyle w:val="58"/>
        <w:snapToGrid w:val="0"/>
        <w:ind w:firstLine="919" w:firstLineChars="383"/>
        <w:rPr>
          <w:rFonts w:hAnsi="宋体" w:cs="宋体"/>
          <w:color w:val="000000"/>
          <w:sz w:val="24"/>
          <w:highlight w:val="yellow"/>
        </w:rPr>
      </w:pPr>
      <w:r>
        <w:rPr>
          <w:rFonts w:hint="eastAsia" w:hAnsi="宋体" w:cs="宋体"/>
          <w:bCs/>
          <w:color w:val="000000"/>
          <w:sz w:val="24"/>
        </w:rPr>
        <w:t>地    址：</w:t>
      </w:r>
      <w:r>
        <w:rPr>
          <w:rFonts w:hint="eastAsia" w:hAnsi="宋体" w:cs="宋体"/>
          <w:color w:val="000000"/>
          <w:sz w:val="24"/>
        </w:rPr>
        <w:t>成都市郫都区安德街道彭温路399号</w:t>
      </w:r>
    </w:p>
    <w:p>
      <w:pPr>
        <w:pStyle w:val="58"/>
        <w:snapToGrid w:val="0"/>
        <w:ind w:firstLine="960" w:firstLineChars="400"/>
        <w:rPr>
          <w:rFonts w:hAnsi="宋体" w:cs="宋体"/>
          <w:sz w:val="24"/>
        </w:rPr>
      </w:pPr>
      <w:r>
        <w:rPr>
          <w:rFonts w:hint="eastAsia" w:hAnsi="宋体" w:cs="宋体"/>
          <w:color w:val="000000"/>
          <w:sz w:val="24"/>
        </w:rPr>
        <w:t>联 系 人：</w:t>
      </w:r>
      <w:r>
        <w:rPr>
          <w:rFonts w:hint="eastAsia" w:hAnsi="宋体" w:cs="宋体"/>
          <w:sz w:val="24"/>
        </w:rPr>
        <w:t>贺老师 、李老师</w:t>
      </w:r>
    </w:p>
    <w:p>
      <w:pPr>
        <w:pStyle w:val="58"/>
        <w:snapToGrid w:val="0"/>
        <w:ind w:firstLine="919" w:firstLineChars="383"/>
        <w:rPr>
          <w:rFonts w:hAnsi="宋体" w:cs="宋体"/>
          <w:color w:val="000000"/>
          <w:sz w:val="24"/>
        </w:rPr>
      </w:pPr>
      <w:r>
        <w:rPr>
          <w:rFonts w:hint="eastAsia" w:hAnsi="宋体" w:cs="宋体"/>
          <w:color w:val="000000"/>
          <w:sz w:val="24"/>
        </w:rPr>
        <w:t xml:space="preserve">联系电话：028-68939875 </w:t>
      </w:r>
      <w:r>
        <w:rPr>
          <w:rFonts w:hint="eastAsia" w:hAnsi="宋体" w:cs="宋体"/>
          <w:color w:val="000000"/>
          <w:sz w:val="24"/>
          <w:lang w:eastAsia="zh-CN"/>
        </w:rPr>
        <w:t>、</w:t>
      </w:r>
      <w:r>
        <w:rPr>
          <w:rFonts w:hint="eastAsia" w:hAnsi="宋体" w:cs="宋体"/>
          <w:color w:val="000000"/>
          <w:sz w:val="24"/>
        </w:rPr>
        <w:t xml:space="preserve"> 68939887</w:t>
      </w:r>
    </w:p>
    <w:p>
      <w:pPr>
        <w:pStyle w:val="58"/>
        <w:snapToGrid w:val="0"/>
        <w:ind w:firstLine="919" w:firstLineChars="383"/>
        <w:rPr>
          <w:rFonts w:hAnsi="宋体"/>
          <w:sz w:val="24"/>
          <w:szCs w:val="28"/>
        </w:rPr>
      </w:pPr>
      <w:r>
        <w:rPr>
          <w:rFonts w:hint="eastAsia" w:hAnsi="宋体" w:cs="宋体"/>
          <w:sz w:val="24"/>
        </w:rPr>
        <w:t xml:space="preserve">                   </w:t>
      </w:r>
      <w:r>
        <w:rPr>
          <w:rFonts w:hint="eastAsia" w:hAnsi="宋体" w:cs="宋体"/>
          <w:sz w:val="24"/>
        </w:rPr>
        <w:tab/>
      </w:r>
    </w:p>
    <w:p>
      <w:pPr>
        <w:pStyle w:val="19"/>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213396945"/>
      <w:bookmarkStart w:id="6" w:name="_Toc358883242"/>
      <w:bookmarkStart w:id="7" w:name="_Toc213397009"/>
      <w:bookmarkStart w:id="8" w:name="_Toc213396759"/>
      <w:bookmarkStart w:id="9" w:name="_Toc213496267"/>
      <w:bookmarkStart w:id="10" w:name="_Toc217446031"/>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3396760"/>
      <w:bookmarkStart w:id="12" w:name="_Toc213496268"/>
      <w:bookmarkStart w:id="13" w:name="_Toc213396946"/>
      <w:bookmarkStart w:id="14" w:name="_Toc217446032"/>
      <w:bookmarkStart w:id="15" w:name="_Toc213397010"/>
      <w:bookmarkStart w:id="16" w:name="_Toc18972703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0"/>
              <w:snapToGrid w:val="0"/>
              <w:spacing w:line="360" w:lineRule="auto"/>
              <w:jc w:val="center"/>
              <w:rPr>
                <w:lang w:val="zh-CN"/>
              </w:rPr>
            </w:pPr>
            <w:r>
              <w:rPr>
                <w:rFonts w:hint="eastAsia"/>
                <w:lang w:val="zh-CN"/>
              </w:rPr>
              <w:t xml:space="preserve">序号 </w:t>
            </w:r>
          </w:p>
        </w:tc>
        <w:tc>
          <w:tcPr>
            <w:tcW w:w="1916" w:type="dxa"/>
            <w:vAlign w:val="center"/>
          </w:tcPr>
          <w:p>
            <w:pPr>
              <w:pStyle w:val="60"/>
              <w:snapToGrid w:val="0"/>
              <w:spacing w:line="360" w:lineRule="auto"/>
              <w:jc w:val="center"/>
              <w:rPr>
                <w:lang w:val="zh-CN"/>
              </w:rPr>
            </w:pPr>
            <w:r>
              <w:rPr>
                <w:rFonts w:hint="eastAsia"/>
                <w:lang w:val="zh-CN"/>
              </w:rPr>
              <w:t xml:space="preserve">应知事项 </w:t>
            </w:r>
          </w:p>
        </w:tc>
        <w:tc>
          <w:tcPr>
            <w:tcW w:w="6819" w:type="dxa"/>
            <w:vAlign w:val="center"/>
          </w:tcPr>
          <w:p>
            <w:pPr>
              <w:pStyle w:val="60"/>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0"/>
              <w:snapToGrid w:val="0"/>
              <w:spacing w:line="360" w:lineRule="auto"/>
              <w:jc w:val="center"/>
            </w:pPr>
            <w:r>
              <w:rPr>
                <w:rFonts w:hint="eastAsia"/>
              </w:rPr>
              <w:t>1</w:t>
            </w:r>
          </w:p>
        </w:tc>
        <w:tc>
          <w:tcPr>
            <w:tcW w:w="1916" w:type="dxa"/>
            <w:vAlign w:val="center"/>
          </w:tcPr>
          <w:p>
            <w:pPr>
              <w:pStyle w:val="60"/>
              <w:snapToGrid w:val="0"/>
              <w:spacing w:line="360" w:lineRule="auto"/>
              <w:jc w:val="center"/>
              <w:rPr>
                <w:lang w:val="zh-CN"/>
              </w:rPr>
            </w:pPr>
            <w:r>
              <w:rPr>
                <w:rFonts w:hint="eastAsia"/>
                <w:lang w:val="zh-CN"/>
              </w:rPr>
              <w:t>采购人</w:t>
            </w:r>
          </w:p>
        </w:tc>
        <w:tc>
          <w:tcPr>
            <w:tcW w:w="6819" w:type="dxa"/>
            <w:vAlign w:val="center"/>
          </w:tcPr>
          <w:p>
            <w:pPr>
              <w:pStyle w:val="58"/>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0"/>
              <w:snapToGrid w:val="0"/>
              <w:spacing w:line="360" w:lineRule="auto"/>
              <w:ind w:firstLine="240" w:firstLineChars="100"/>
              <w:rPr>
                <w:lang w:val="zh-CN"/>
              </w:rPr>
            </w:pPr>
            <w:r>
              <w:rPr>
                <w:rFonts w:hint="eastAsia"/>
                <w:lang w:val="zh-CN"/>
              </w:rPr>
              <w:t>地址：</w:t>
            </w:r>
            <w:r>
              <w:rPr>
                <w:rFonts w:hint="eastAsia"/>
              </w:rPr>
              <w:t>四川成都郫都区安德街道彭温路399号</w:t>
            </w:r>
          </w:p>
          <w:p>
            <w:pPr>
              <w:pStyle w:val="60"/>
              <w:snapToGrid w:val="0"/>
              <w:spacing w:line="360" w:lineRule="auto"/>
              <w:ind w:firstLine="240" w:firstLineChars="100"/>
              <w:rPr>
                <w:lang w:val="zh-CN"/>
              </w:rPr>
            </w:pPr>
            <w:r>
              <w:rPr>
                <w:rFonts w:hint="eastAsia"/>
                <w:lang w:val="zh-CN"/>
              </w:rPr>
              <w:t>联 系 人：贺老师、李老师</w:t>
            </w:r>
          </w:p>
          <w:p>
            <w:pPr>
              <w:pStyle w:val="60"/>
              <w:snapToGrid w:val="0"/>
              <w:spacing w:line="360" w:lineRule="auto"/>
              <w:ind w:firstLine="240" w:firstLineChars="100"/>
              <w:rPr>
                <w:rFonts w:hint="default" w:eastAsia="宋体"/>
                <w:lang w:val="en-US" w:eastAsia="zh-CN"/>
              </w:rPr>
            </w:pPr>
            <w:r>
              <w:rPr>
                <w:rFonts w:hint="eastAsia"/>
                <w:lang w:val="zh-CN"/>
              </w:rPr>
              <w:t>联系电话：</w:t>
            </w:r>
            <w:r>
              <w:rPr>
                <w:rFonts w:hint="eastAsia"/>
              </w:rPr>
              <w:t>68939875</w:t>
            </w:r>
            <w:r>
              <w:rPr>
                <w:rFonts w:hint="eastAsia"/>
                <w:lang w:eastAsia="zh-CN"/>
              </w:rPr>
              <w:t>、</w:t>
            </w:r>
            <w:r>
              <w:rPr>
                <w:rFonts w:hint="eastAsia"/>
                <w:lang w:val="en-US" w:eastAsia="zh-CN"/>
              </w:rPr>
              <w:t>68939887</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771" w:type="dxa"/>
            <w:vAlign w:val="center"/>
          </w:tcPr>
          <w:p>
            <w:pPr>
              <w:pStyle w:val="60"/>
              <w:snapToGrid w:val="0"/>
              <w:spacing w:line="360" w:lineRule="auto"/>
              <w:jc w:val="center"/>
            </w:pPr>
            <w:r>
              <w:rPr>
                <w:rFonts w:hint="eastAsia"/>
              </w:rPr>
              <w:t>2</w:t>
            </w:r>
          </w:p>
        </w:tc>
        <w:tc>
          <w:tcPr>
            <w:tcW w:w="1916" w:type="dxa"/>
            <w:vAlign w:val="center"/>
          </w:tcPr>
          <w:p>
            <w:pPr>
              <w:pStyle w:val="60"/>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9"/>
              <w:snapToGrid w:val="0"/>
              <w:ind w:firstLine="0"/>
              <w:jc w:val="left"/>
              <w:rPr>
                <w:rFonts w:hint="default" w:eastAsia="宋体"/>
                <w:lang w:val="en-US" w:eastAsia="zh-CN"/>
              </w:rPr>
            </w:pPr>
            <w:r>
              <w:rPr>
                <w:rFonts w:hint="eastAsia" w:hAnsi="宋体" w:cs="宋体"/>
                <w:bCs/>
                <w:sz w:val="24"/>
                <w:szCs w:val="24"/>
              </w:rPr>
              <w:t>公共教学部课程思政建设</w:t>
            </w:r>
            <w:r>
              <w:rPr>
                <w:rFonts w:hint="eastAsia" w:hAnsi="宋体" w:cs="宋体"/>
                <w:bCs/>
                <w:sz w:val="24"/>
                <w:szCs w:val="24"/>
                <w:lang w:val="en-US" w:eastAsia="zh-CN"/>
              </w:rPr>
              <w:t>第2次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0"/>
              <w:snapToGrid w:val="0"/>
              <w:spacing w:line="360" w:lineRule="auto"/>
              <w:jc w:val="center"/>
            </w:pPr>
            <w:r>
              <w:rPr>
                <w:rFonts w:hint="eastAsia"/>
              </w:rPr>
              <w:t>3</w:t>
            </w:r>
          </w:p>
        </w:tc>
        <w:tc>
          <w:tcPr>
            <w:tcW w:w="1916" w:type="dxa"/>
            <w:vAlign w:val="center"/>
          </w:tcPr>
          <w:p>
            <w:pPr>
              <w:pStyle w:val="60"/>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0"/>
              <w:snapToGrid w:val="0"/>
              <w:spacing w:line="360" w:lineRule="auto"/>
              <w:rPr>
                <w:rFonts w:hint="default" w:eastAsia="宋体"/>
                <w:lang w:val="en-US" w:eastAsia="zh-CN"/>
              </w:rPr>
            </w:pPr>
            <w:r>
              <w:rPr>
                <w:rFonts w:hint="eastAsia"/>
                <w:color w:val="000000" w:themeColor="text1"/>
                <w14:textFill>
                  <w14:solidFill>
                    <w14:schemeClr w14:val="tx1"/>
                  </w14:solidFill>
                </w14:textFill>
              </w:rPr>
              <w:t>TZY-ZB-2022023</w:t>
            </w:r>
            <w:r>
              <w:rPr>
                <w:rFonts w:hint="eastAsia"/>
                <w:color w:val="000000" w:themeColor="text1"/>
                <w:lang w:val="en-US" w:eastAsia="zh-CN"/>
                <w14:textFill>
                  <w14:solidFill>
                    <w14:schemeClr w14:val="tx1"/>
                  </w14:solidFill>
                </w14:textFill>
              </w:rPr>
              <w:t>-1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pPr>
            <w:r>
              <w:rPr>
                <w:rFonts w:hint="eastAsia"/>
              </w:rPr>
              <w:t>4</w:t>
            </w:r>
          </w:p>
        </w:tc>
        <w:tc>
          <w:tcPr>
            <w:tcW w:w="1916" w:type="dxa"/>
            <w:vAlign w:val="center"/>
          </w:tcPr>
          <w:p>
            <w:pPr>
              <w:pStyle w:val="60"/>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0"/>
              <w:snapToGrid w:val="0"/>
              <w:spacing w:line="360" w:lineRule="auto"/>
              <w:ind w:firstLine="240" w:firstLineChars="100"/>
            </w:pPr>
            <w:r>
              <w:rPr>
                <w:rFonts w:hint="eastAsia"/>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5</w:t>
            </w:r>
          </w:p>
        </w:tc>
        <w:tc>
          <w:tcPr>
            <w:tcW w:w="1916" w:type="dxa"/>
            <w:vAlign w:val="center"/>
          </w:tcPr>
          <w:p>
            <w:pPr>
              <w:pStyle w:val="60"/>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0"/>
              <w:snapToGrid w:val="0"/>
              <w:spacing w:line="360" w:lineRule="auto"/>
              <w:ind w:firstLine="240" w:firstLineChars="100"/>
            </w:pPr>
            <w:r>
              <w:t>6.4</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0"/>
              <w:snapToGrid w:val="0"/>
              <w:spacing w:line="360" w:lineRule="auto"/>
              <w:jc w:val="center"/>
            </w:pPr>
            <w:r>
              <w:rPr>
                <w:rFonts w:hint="eastAsia"/>
              </w:rPr>
              <w:t>6</w:t>
            </w:r>
          </w:p>
        </w:tc>
        <w:tc>
          <w:tcPr>
            <w:tcW w:w="1916" w:type="dxa"/>
            <w:vAlign w:val="center"/>
          </w:tcPr>
          <w:p>
            <w:pPr>
              <w:pStyle w:val="60"/>
              <w:snapToGrid w:val="0"/>
              <w:spacing w:line="360" w:lineRule="auto"/>
              <w:jc w:val="center"/>
              <w:rPr>
                <w:lang w:val="zh-CN"/>
              </w:rPr>
            </w:pPr>
            <w:r>
              <w:rPr>
                <w:rFonts w:hint="eastAsia"/>
                <w:lang w:val="zh-CN"/>
              </w:rPr>
              <w:t>构成招标文件的其他文件</w:t>
            </w:r>
          </w:p>
        </w:tc>
        <w:tc>
          <w:tcPr>
            <w:tcW w:w="6819" w:type="dxa"/>
            <w:vAlign w:val="center"/>
          </w:tcPr>
          <w:p>
            <w:pPr>
              <w:pStyle w:val="60"/>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7</w:t>
            </w:r>
          </w:p>
        </w:tc>
        <w:tc>
          <w:tcPr>
            <w:tcW w:w="1916" w:type="dxa"/>
            <w:vAlign w:val="center"/>
          </w:tcPr>
          <w:p>
            <w:pPr>
              <w:pStyle w:val="60"/>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0"/>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0"/>
              <w:snapToGrid w:val="0"/>
              <w:spacing w:line="360" w:lineRule="auto"/>
              <w:jc w:val="center"/>
              <w:rPr>
                <w:lang w:val="zh-CN"/>
              </w:rPr>
            </w:pPr>
            <w:r>
              <w:rPr>
                <w:rFonts w:hint="eastAsia"/>
              </w:rPr>
              <w:t>8</w:t>
            </w:r>
          </w:p>
        </w:tc>
        <w:tc>
          <w:tcPr>
            <w:tcW w:w="1916" w:type="dxa"/>
            <w:vAlign w:val="center"/>
          </w:tcPr>
          <w:p>
            <w:pPr>
              <w:pStyle w:val="60"/>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0"/>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rPr>
                <w:lang w:val="zh-CN"/>
              </w:rPr>
            </w:pPr>
            <w:r>
              <w:rPr>
                <w:rFonts w:hint="eastAsia"/>
                <w:lang w:val="zh-CN"/>
              </w:rPr>
              <w:t>a.时间和地点详见 “投标邀请”;</w:t>
            </w:r>
          </w:p>
          <w:p>
            <w:pPr>
              <w:pStyle w:val="60"/>
              <w:snapToGrid w:val="0"/>
              <w:spacing w:line="360" w:lineRule="auto"/>
              <w:rPr>
                <w:lang w:val="zh-CN"/>
              </w:rPr>
            </w:pPr>
            <w:r>
              <w:rPr>
                <w:rFonts w:hint="eastAsia"/>
                <w:lang w:val="zh-CN"/>
              </w:rPr>
              <w:t>b.采购人在招标文件规定的时间和地点组织开标，投标人代表人执有效身份证参加。</w:t>
            </w:r>
          </w:p>
          <w:p>
            <w:pPr>
              <w:pStyle w:val="60"/>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0"/>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0"/>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0"/>
              <w:snapToGrid w:val="0"/>
              <w:spacing w:line="360" w:lineRule="auto"/>
              <w:ind w:firstLine="240" w:firstLineChars="100"/>
              <w:rPr>
                <w:highlight w:val="yellow"/>
                <w:lang w:val="zh-CN"/>
              </w:rPr>
            </w:pPr>
            <w:r>
              <w:rPr>
                <w:rFonts w:hint="eastAsia"/>
                <w:lang w:val="zh-CN"/>
              </w:rPr>
              <w:t>时间：</w:t>
            </w:r>
            <w:r>
              <w:rPr>
                <w:rFonts w:hint="eastAsia"/>
                <w:color w:val="000000" w:themeColor="text1"/>
                <w:highlight w:val="none"/>
                <w14:textFill>
                  <w14:solidFill>
                    <w14:schemeClr w14:val="tx1"/>
                  </w14:solidFill>
                </w14:textFill>
              </w:rPr>
              <w:t xml:space="preserve">2022 </w:t>
            </w:r>
            <w:r>
              <w:rPr>
                <w:rFonts w:hint="eastAsia"/>
                <w:color w:val="000000" w:themeColor="text1"/>
                <w:highlight w:val="none"/>
                <w:lang w:val="zh-CN"/>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 xml:space="preserve"> 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07</w:t>
            </w:r>
            <w:r>
              <w:rPr>
                <w:rFonts w:hint="eastAsia"/>
                <w:color w:val="000000" w:themeColor="text1"/>
                <w:highlight w:val="none"/>
                <w:lang w:val="zh-CN"/>
                <w14:textFill>
                  <w14:solidFill>
                    <w14:schemeClr w14:val="tx1"/>
                  </w14:solidFill>
                </w14:textFill>
              </w:rPr>
              <w:t>日</w:t>
            </w:r>
            <w:r>
              <w:rPr>
                <w:rFonts w:hint="eastAsia"/>
                <w:color w:val="000000" w:themeColor="text1"/>
                <w:highlight w:val="none"/>
                <w14:textFill>
                  <w14:solidFill>
                    <w14:schemeClr w14:val="tx1"/>
                  </w14:solidFill>
                </w14:textFill>
              </w:rPr>
              <w:t>10:00</w:t>
            </w:r>
            <w:r>
              <w:rPr>
                <w:rFonts w:hint="eastAsia"/>
                <w:lang w:val="zh-CN"/>
              </w:rPr>
              <w:t>（北京时间）</w:t>
            </w:r>
          </w:p>
          <w:p>
            <w:pPr>
              <w:pStyle w:val="60"/>
              <w:snapToGrid w:val="0"/>
              <w:spacing w:line="360" w:lineRule="auto"/>
              <w:ind w:firstLine="240" w:firstLineChars="100"/>
            </w:pPr>
            <w:r>
              <w:rPr>
                <w:rFonts w:hint="eastAsia"/>
                <w:lang w:val="zh-CN"/>
              </w:rPr>
              <w:t>地点：</w:t>
            </w:r>
            <w:r>
              <w:rPr>
                <w:rFonts w:hint="eastAsia"/>
              </w:rPr>
              <w:t>四川成都郫都区安德街道彭温路399号后勤基建办公区2F评标室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89075875"/>
      <w:bookmarkStart w:id="18" w:name="_Toc77400779"/>
      <w:bookmarkStart w:id="19" w:name="_Toc183682346"/>
      <w:bookmarkStart w:id="20" w:name="_Toc217446038"/>
      <w:bookmarkStart w:id="21" w:name="_Toc183582209"/>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217446039"/>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77400780"/>
      <w:bookmarkStart w:id="29" w:name="_Toc89075876"/>
      <w:bookmarkStart w:id="30" w:name="_Toc183582214"/>
      <w:bookmarkStart w:id="31" w:name="_Toc217446042"/>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217446043"/>
      <w:bookmarkStart w:id="34" w:name="_Toc183582215"/>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582217"/>
      <w:bookmarkStart w:id="39" w:name="_Toc183682354"/>
      <w:bookmarkStart w:id="40" w:name="_Toc217446048"/>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217446049"/>
      <w:bookmarkStart w:id="44" w:name="_Toc183682355"/>
      <w:bookmarkStart w:id="45" w:name="_Toc183582218"/>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582226"/>
      <w:bookmarkStart w:id="50" w:name="_Toc77400781"/>
      <w:bookmarkStart w:id="51" w:name="_Toc89075877"/>
      <w:bookmarkStart w:id="52" w:name="_Toc183682363"/>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217446056"/>
      <w:bookmarkStart w:id="61" w:name="_Toc89075878"/>
      <w:bookmarkStart w:id="62" w:name="_Toc77400782"/>
      <w:bookmarkStart w:id="63" w:name="_Toc183582231"/>
      <w:bookmarkStart w:id="64"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217446057"/>
      <w:bookmarkStart w:id="66" w:name="_Toc183582232"/>
      <w:bookmarkStart w:id="67" w:name="_Toc183682369"/>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在招标投标过程中，如有任何质疑，可向四川铁道职业学院纪检监察室询问，联系电话：028-68939969。</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6175382"/>
      <w:bookmarkStart w:id="88" w:name="_Toc250041691"/>
      <w:bookmarkStart w:id="89" w:name="_Toc297204985"/>
      <w:bookmarkStart w:id="90" w:name="_Toc263753600"/>
      <w:bookmarkStart w:id="91" w:name="_Toc263768864"/>
      <w:bookmarkStart w:id="92" w:name="_Toc237145385"/>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widowControl/>
        <w:jc w:val="center"/>
        <w:rPr>
          <w:rFonts w:hAnsi="宋体" w:cs="宋体"/>
        </w:rPr>
      </w:pPr>
      <w:bookmarkStart w:id="94" w:name="_Toc123786888"/>
      <w:bookmarkStart w:id="95" w:name="_Toc315963014"/>
      <w:r>
        <w:rPr>
          <w:rFonts w:hint="eastAsia" w:hAnsi="宋体" w:cs="宋体"/>
        </w:rPr>
        <w:t>三、投标报价表</w:t>
      </w:r>
    </w:p>
    <w:p>
      <w:pPr>
        <w:adjustRightInd w:val="0"/>
        <w:snapToGrid w:val="0"/>
        <w:spacing w:line="360" w:lineRule="auto"/>
        <w:rPr>
          <w:rFonts w:ascii="仿宋_GB2312" w:hAnsi="宋体" w:eastAsia="仿宋_GB2312"/>
          <w:sz w:val="28"/>
          <w:szCs w:val="28"/>
        </w:rPr>
      </w:pP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tcPr>
          <w:p>
            <w:pPr>
              <w:adjustRightInd w:val="0"/>
              <w:snapToGrid w:val="0"/>
              <w:spacing w:line="360" w:lineRule="auto"/>
              <w:rPr>
                <w:rFonts w:ascii="仿宋_GB2312" w:hAnsi="宋体" w:eastAsia="仿宋_GB2312"/>
                <w:u w:val="single"/>
              </w:rPr>
            </w:pPr>
            <w:r>
              <w:rPr>
                <w:rFonts w:hint="eastAsia" w:ascii="仿宋_GB2312" w:hAnsi="宋体" w:eastAsia="仿宋_GB2312"/>
              </w:rPr>
              <w:t>如按比例报价，将“投标总价”改为适用格式即可</w:t>
            </w: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bookmarkEnd w:id="94"/>
    <w:p>
      <w:pPr>
        <w:adjustRightInd w:val="0"/>
        <w:snapToGrid w:val="0"/>
        <w:spacing w:line="360" w:lineRule="auto"/>
        <w:rPr>
          <w:rFonts w:ascii="仿宋_GB2312" w:hAnsi="宋体" w:eastAsia="仿宋_GB2312"/>
          <w:sz w:val="24"/>
          <w:u w:val="single"/>
        </w:rPr>
      </w:pPr>
    </w:p>
    <w:p>
      <w:pPr>
        <w:pStyle w:val="5"/>
        <w:snapToGrid w:val="0"/>
        <w:spacing w:before="0" w:after="0" w:line="360" w:lineRule="auto"/>
        <w:ind w:firstLine="2891" w:firstLineChars="900"/>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0"/>
        <w:tblpPr w:leftFromText="180" w:rightFromText="180" w:vertAnchor="text" w:horzAnchor="page" w:tblpX="967"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pStyle w:val="2"/>
        <w:ind w:left="680" w:firstLine="680"/>
      </w:pPr>
      <w:r>
        <w:br w:type="page"/>
      </w:r>
    </w:p>
    <w:p>
      <w:pPr>
        <w:spacing w:line="440" w:lineRule="exact"/>
        <w:ind w:firstLine="3315" w:firstLineChars="975"/>
        <w:rPr>
          <w:rFonts w:hAnsi="宋体" w:cs="宋体"/>
        </w:rPr>
      </w:pPr>
    </w:p>
    <w:p>
      <w:pPr>
        <w:spacing w:line="440" w:lineRule="exact"/>
        <w:ind w:firstLine="3315" w:firstLineChars="975"/>
        <w:rPr>
          <w:rFonts w:hAnsi="宋体" w:cs="宋体"/>
        </w:rPr>
      </w:pPr>
      <w:r>
        <w:rPr>
          <w:rFonts w:hint="eastAsia" w:hAnsi="宋体" w:cs="宋体"/>
        </w:rPr>
        <w:t>七、承诺函</w:t>
      </w:r>
    </w:p>
    <w:p>
      <w:pPr>
        <w:rPr>
          <w:rFonts w:hAnsi="宋体"/>
          <w:sz w:val="24"/>
        </w:rPr>
      </w:pPr>
      <w:r>
        <w:rPr>
          <w:rFonts w:hint="eastAsia" w:hAnsi="宋体"/>
          <w:sz w:val="24"/>
        </w:rPr>
        <w:t>四川铁道职业学院：</w:t>
      </w:r>
    </w:p>
    <w:p>
      <w:pPr>
        <w:ind w:firstLine="480" w:firstLineChars="200"/>
        <w:rPr>
          <w:rFonts w:hAnsi="宋体"/>
          <w:sz w:val="24"/>
        </w:rPr>
      </w:pPr>
      <w:r>
        <w:rPr>
          <w:rFonts w:hint="eastAsia" w:hAnsi="宋体"/>
          <w:sz w:val="24"/>
        </w:rPr>
        <w:t>我公司作为本次采购项目的供应商，根据招标文件要求，现郑重承诺如下：</w:t>
      </w:r>
    </w:p>
    <w:p>
      <w:pPr>
        <w:pStyle w:val="3"/>
        <w:rPr>
          <w:rFonts w:ascii="宋体" w:hAnsi="宋体"/>
          <w:sz w:val="24"/>
          <w:szCs w:val="22"/>
        </w:rPr>
      </w:pPr>
      <w:r>
        <w:rPr>
          <w:rFonts w:hint="eastAsia" w:ascii="宋体" w:hAnsi="宋体"/>
          <w:sz w:val="24"/>
          <w:szCs w:val="22"/>
        </w:rPr>
        <w:t>（一）我公司</w:t>
      </w:r>
      <w:r>
        <w:rPr>
          <w:rFonts w:hint="eastAsia" w:hAnsi="宋体" w:cs="宋体"/>
          <w:sz w:val="24"/>
        </w:rPr>
        <w:t>严格遵守《食品安全法》和学校的有关规定，确保经销食品质量；</w:t>
      </w:r>
    </w:p>
    <w:p>
      <w:pPr>
        <w:spacing w:line="440" w:lineRule="exact"/>
        <w:rPr>
          <w:rFonts w:hAnsi="宋体" w:cs="宋体"/>
          <w:sz w:val="24"/>
        </w:rPr>
      </w:pPr>
      <w:r>
        <w:rPr>
          <w:rFonts w:hint="eastAsia" w:hAnsi="宋体" w:cs="宋体"/>
          <w:sz w:val="24"/>
        </w:rPr>
        <w:t>（二）我公司积极配合接受上级卫生监督部门、学校后勤管理部门对食品卫生、合作范围等方面的检查、监督；</w:t>
      </w:r>
    </w:p>
    <w:p>
      <w:pPr>
        <w:spacing w:line="440" w:lineRule="exact"/>
        <w:rPr>
          <w:rFonts w:hAnsi="宋体" w:cs="宋体"/>
          <w:sz w:val="24"/>
        </w:rPr>
      </w:pPr>
      <w:r>
        <w:rPr>
          <w:rFonts w:hint="eastAsia" w:hAnsi="宋体" w:cs="宋体"/>
          <w:sz w:val="24"/>
        </w:rPr>
        <w:t>（三）合作期间的税金、工商管理、卫生、防疫、宣传等费用由我公司承担，并同时承担与之有关的一切法律责任；</w:t>
      </w:r>
    </w:p>
    <w:p>
      <w:pPr>
        <w:spacing w:line="440" w:lineRule="exact"/>
        <w:rPr>
          <w:rFonts w:hAnsi="宋体" w:cs="宋体"/>
          <w:sz w:val="24"/>
        </w:rPr>
      </w:pPr>
      <w:r>
        <w:rPr>
          <w:rFonts w:hint="eastAsia" w:hAnsi="宋体" w:cs="宋体"/>
          <w:sz w:val="24"/>
        </w:rPr>
        <w:t>（四）我公司不得擅自改变合作场所的房屋结构，不得私接水电。擅自改变的，中标供应商负责恢复原状，并承担由此造成的一切损失；</w:t>
      </w:r>
    </w:p>
    <w:p>
      <w:pPr>
        <w:spacing w:line="440" w:lineRule="exact"/>
        <w:rPr>
          <w:rFonts w:hAnsi="宋体" w:cs="宋体"/>
          <w:sz w:val="24"/>
        </w:rPr>
      </w:pPr>
      <w:r>
        <w:rPr>
          <w:rFonts w:hint="eastAsia" w:hAnsi="宋体" w:cs="宋体"/>
          <w:sz w:val="24"/>
        </w:rPr>
        <w:t>（五）我公司作好安全、卫生（门前实行三包）、防火、防盗、防水及维持秩序等工作。由此引发事故造成损失的由合作单位负完全赔偿责任；</w:t>
      </w:r>
    </w:p>
    <w:p>
      <w:pPr>
        <w:spacing w:line="440" w:lineRule="exact"/>
        <w:rPr>
          <w:rFonts w:hAnsi="宋体" w:cs="宋体"/>
          <w:sz w:val="24"/>
        </w:rPr>
      </w:pPr>
      <w:r>
        <w:rPr>
          <w:rFonts w:hint="eastAsia" w:hAnsi="宋体" w:cs="宋体"/>
          <w:sz w:val="24"/>
        </w:rPr>
        <w:t>（六）我公司不得对该项目进行转让、转包、转租、分包、分租，否则采购人有权单方解除合同，不承担任何责任；</w:t>
      </w:r>
    </w:p>
    <w:p>
      <w:pPr>
        <w:spacing w:line="440" w:lineRule="exact"/>
        <w:rPr>
          <w:rFonts w:hAnsi="宋体" w:cs="宋体"/>
          <w:sz w:val="24"/>
        </w:rPr>
      </w:pPr>
      <w:r>
        <w:rPr>
          <w:rFonts w:hint="eastAsia" w:hAnsi="宋体" w:cs="宋体"/>
          <w:sz w:val="24"/>
        </w:rPr>
        <w:t>（七）我公司工作人员需符合国家有关超市从业人员上岗的相关规定，所发生的任何问题均由合作企业负责处理；</w:t>
      </w:r>
    </w:p>
    <w:p>
      <w:pPr>
        <w:spacing w:line="440" w:lineRule="exact"/>
        <w:rPr>
          <w:rFonts w:hAnsi="宋体" w:cs="宋体"/>
          <w:sz w:val="24"/>
        </w:rPr>
      </w:pPr>
      <w:r>
        <w:rPr>
          <w:rFonts w:hint="eastAsia" w:hAnsi="宋体" w:cs="宋体"/>
          <w:sz w:val="24"/>
        </w:rPr>
        <w:t>（八）我公司保证所售产品的质量是符合国家或行业相关标准的，承担其因产品质量的引发的全部法律责任和经济责任。</w:t>
      </w:r>
    </w:p>
    <w:p>
      <w:pPr>
        <w:ind w:firstLine="480" w:firstLineChars="200"/>
        <w:rPr>
          <w:rFonts w:hAnsi="宋体"/>
          <w:sz w:val="24"/>
        </w:rPr>
      </w:pPr>
    </w:p>
    <w:p>
      <w:pPr>
        <w:ind w:firstLine="480" w:firstLineChars="200"/>
        <w:rPr>
          <w:rFonts w:hAnsi="宋体"/>
          <w:sz w:val="24"/>
        </w:rPr>
      </w:pPr>
      <w:r>
        <w:rPr>
          <w:rFonts w:hint="eastAsia" w:hAnsi="宋体"/>
          <w:sz w:val="24"/>
        </w:rPr>
        <w:t>本公司对上述承诺的内容事项真实性负责。如经查实上述承诺的内容事项存在虚假，我公司愿意接受以提供虚假材料谋取成交的法律责任。</w:t>
      </w:r>
    </w:p>
    <w:p>
      <w:pPr>
        <w:rPr>
          <w:rFonts w:hAnsi="宋体"/>
          <w:sz w:val="24"/>
        </w:rPr>
      </w:pPr>
    </w:p>
    <w:p>
      <w:pPr>
        <w:rPr>
          <w:rFonts w:hAnsi="宋体"/>
          <w:sz w:val="24"/>
        </w:rPr>
      </w:pPr>
    </w:p>
    <w:p>
      <w:pPr>
        <w:adjustRightInd w:val="0"/>
        <w:spacing w:line="400" w:lineRule="exact"/>
        <w:jc w:val="left"/>
        <w:rPr>
          <w:rFonts w:hAnsi="宋体"/>
          <w:sz w:val="24"/>
        </w:rPr>
      </w:pPr>
      <w:r>
        <w:rPr>
          <w:rFonts w:hint="eastAsia" w:hAnsi="宋体"/>
          <w:sz w:val="24"/>
        </w:rPr>
        <w:t>供应商名称：XXX（盖单位公章）</w:t>
      </w:r>
    </w:p>
    <w:p>
      <w:pPr>
        <w:adjustRightInd w:val="0"/>
        <w:spacing w:line="400" w:lineRule="exact"/>
        <w:jc w:val="left"/>
        <w:rPr>
          <w:rFonts w:hAnsi="宋体"/>
          <w:bCs/>
          <w:sz w:val="24"/>
        </w:rPr>
      </w:pPr>
      <w:r>
        <w:rPr>
          <w:rFonts w:hint="eastAsia" w:hAnsi="宋体"/>
          <w:bCs/>
          <w:sz w:val="24"/>
        </w:rPr>
        <w:t>法定代表人或授权代表（签字或盖章）：XXX</w:t>
      </w:r>
    </w:p>
    <w:p>
      <w:pPr>
        <w:adjustRightInd w:val="0"/>
        <w:spacing w:line="400" w:lineRule="exact"/>
        <w:jc w:val="left"/>
        <w:rPr>
          <w:rFonts w:hAnsi="宋体"/>
          <w:bCs/>
          <w:sz w:val="24"/>
        </w:rPr>
      </w:pPr>
      <w:r>
        <w:rPr>
          <w:rFonts w:hint="eastAsia" w:hAnsi="宋体"/>
          <w:bCs/>
          <w:sz w:val="24"/>
        </w:rPr>
        <w:t>日  期：XXX年XXX月XXX日</w:t>
      </w:r>
    </w:p>
    <w:p>
      <w:pPr>
        <w:pStyle w:val="2"/>
        <w:ind w:left="680" w:firstLine="680"/>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pStyle w:val="2"/>
        <w:ind w:left="680" w:firstLine="680"/>
        <w:sectPr>
          <w:pgSz w:w="11906" w:h="16838"/>
          <w:pgMar w:top="1083" w:right="1440" w:bottom="1083" w:left="1440" w:header="851" w:footer="992" w:gutter="0"/>
          <w:cols w:space="720" w:num="1"/>
          <w:docGrid w:type="lines" w:linePitch="473" w:charSpace="0"/>
        </w:sectPr>
      </w:pPr>
    </w:p>
    <w:bookmarkEnd w:id="41"/>
    <w:bookmarkEnd w:id="42"/>
    <w:p>
      <w:pPr>
        <w:pStyle w:val="4"/>
        <w:snapToGrid w:val="0"/>
        <w:spacing w:before="0" w:after="283" w:afterLines="60" w:line="360" w:lineRule="auto"/>
        <w:jc w:val="center"/>
        <w:rPr>
          <w:rFonts w:hAnsi="宋体"/>
          <w:sz w:val="32"/>
          <w:szCs w:val="32"/>
        </w:rPr>
      </w:pPr>
    </w:p>
    <w:p>
      <w:pPr>
        <w:pStyle w:val="4"/>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adjustRightInd w:val="0"/>
        <w:snapToGrid w:val="0"/>
        <w:spacing w:line="440" w:lineRule="exact"/>
        <w:ind w:firstLine="562" w:firstLineChars="200"/>
        <w:rPr>
          <w:rFonts w:hAnsi="宋体" w:cs="宋体"/>
          <w:sz w:val="28"/>
          <w:szCs w:val="28"/>
        </w:rPr>
      </w:pPr>
      <w:bookmarkStart w:id="97" w:name="_Toc515612310"/>
      <w:r>
        <w:rPr>
          <w:rFonts w:hint="eastAsia" w:hAnsi="宋体" w:cs="宋体"/>
          <w:b/>
          <w:bCs/>
          <w:sz w:val="28"/>
          <w:szCs w:val="28"/>
        </w:rPr>
        <w:t>一、采购需求</w:t>
      </w:r>
    </w:p>
    <w:p>
      <w:pPr>
        <w:snapToGrid w:val="0"/>
        <w:spacing w:before="240" w:line="360" w:lineRule="auto"/>
        <w:ind w:firstLine="480" w:firstLineChars="200"/>
        <w:rPr>
          <w:rFonts w:hAnsi="宋体"/>
          <w:color w:val="000000"/>
          <w:sz w:val="24"/>
          <w:szCs w:val="24"/>
        </w:rPr>
      </w:pPr>
      <w:r>
        <w:rPr>
          <w:rFonts w:hint="eastAsia" w:hAnsi="宋体"/>
          <w:color w:val="000000"/>
          <w:sz w:val="24"/>
          <w:szCs w:val="24"/>
        </w:rPr>
        <w:t>公共教学部课程思政建设</w:t>
      </w:r>
      <w:r>
        <w:rPr>
          <w:rFonts w:hAnsi="宋体"/>
          <w:color w:val="000000"/>
          <w:sz w:val="24"/>
          <w:szCs w:val="24"/>
        </w:rPr>
        <w:t>项目</w:t>
      </w:r>
      <w:r>
        <w:rPr>
          <w:rFonts w:hint="eastAsia" w:hAnsi="宋体"/>
          <w:color w:val="000000"/>
          <w:sz w:val="24"/>
          <w:szCs w:val="24"/>
        </w:rPr>
        <w:t>是为了推进公共基础课程“课程思政”建设，挖掘各门课程蕴含的思政元素，提炼课程思政典型案例</w:t>
      </w:r>
      <w:r>
        <w:rPr>
          <w:rFonts w:hAnsi="宋体"/>
          <w:color w:val="000000"/>
          <w:sz w:val="24"/>
          <w:szCs w:val="24"/>
        </w:rPr>
        <w:t>，</w:t>
      </w:r>
      <w:r>
        <w:rPr>
          <w:rFonts w:hint="eastAsia" w:hAnsi="宋体"/>
          <w:color w:val="000000"/>
          <w:sz w:val="24"/>
          <w:szCs w:val="24"/>
        </w:rPr>
        <w:t>培育具有课程思政特色的示范课程，</w:t>
      </w:r>
      <w:r>
        <w:rPr>
          <w:rFonts w:hAnsi="宋体"/>
          <w:color w:val="000000"/>
          <w:sz w:val="24"/>
          <w:szCs w:val="24"/>
        </w:rPr>
        <w:t>开展</w:t>
      </w:r>
      <w:r>
        <w:rPr>
          <w:rFonts w:hint="eastAsia" w:hAnsi="宋体"/>
          <w:color w:val="000000"/>
          <w:sz w:val="24"/>
          <w:szCs w:val="24"/>
        </w:rPr>
        <w:t>的视频录制工作。</w:t>
      </w:r>
      <w:r>
        <w:rPr>
          <w:rFonts w:hAnsi="宋体"/>
          <w:color w:val="000000"/>
          <w:sz w:val="24"/>
          <w:szCs w:val="24"/>
        </w:rPr>
        <w:t>本次采购共1个包。</w:t>
      </w:r>
      <w:r>
        <w:rPr>
          <w:rFonts w:hint="eastAsia" w:hAnsi="宋体"/>
          <w:color w:val="000000"/>
          <w:sz w:val="24"/>
          <w:szCs w:val="24"/>
        </w:rPr>
        <w:t>具体预算及需求如下：</w:t>
      </w:r>
    </w:p>
    <w:tbl>
      <w:tblPr>
        <w:tblStyle w:val="20"/>
        <w:tblW w:w="922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820"/>
        <w:gridCol w:w="3027"/>
        <w:gridCol w:w="1353"/>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序号</w:t>
            </w:r>
          </w:p>
        </w:tc>
        <w:tc>
          <w:tcPr>
            <w:tcW w:w="2820"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项目名称</w:t>
            </w:r>
          </w:p>
        </w:tc>
        <w:tc>
          <w:tcPr>
            <w:tcW w:w="3027"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服务内容</w:t>
            </w:r>
          </w:p>
        </w:tc>
        <w:tc>
          <w:tcPr>
            <w:tcW w:w="1353"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时长</w:t>
            </w:r>
          </w:p>
        </w:tc>
        <w:tc>
          <w:tcPr>
            <w:tcW w:w="1464" w:type="dxa"/>
            <w:shd w:val="clear" w:color="auto" w:fill="auto"/>
            <w:vAlign w:val="center"/>
          </w:tcPr>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预算</w:t>
            </w:r>
          </w:p>
          <w:p>
            <w:pPr>
              <w:widowControl/>
              <w:jc w:val="center"/>
              <w:textAlignment w:val="center"/>
              <w:rPr>
                <w:rFonts w:ascii="微软雅黑" w:hAnsi="微软雅黑" w:eastAsia="微软雅黑" w:cs="微软雅黑"/>
                <w:color w:val="000000"/>
                <w:sz w:val="24"/>
                <w:szCs w:val="24"/>
                <w:lang w:bidi="ar"/>
              </w:rPr>
            </w:pPr>
            <w:r>
              <w:rPr>
                <w:rFonts w:hint="eastAsia" w:ascii="微软雅黑" w:hAnsi="微软雅黑" w:eastAsia="微软雅黑" w:cs="微软雅黑"/>
                <w:color w:val="000000"/>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564" w:type="dxa"/>
            <w:shd w:val="clear" w:color="auto" w:fill="auto"/>
            <w:vAlign w:val="center"/>
          </w:tcPr>
          <w:p>
            <w:pPr>
              <w:widowControl/>
              <w:adjustRightInd w:val="0"/>
              <w:snapToGrid w:val="0"/>
              <w:jc w:val="center"/>
              <w:rPr>
                <w:rFonts w:hAnsi="宋体"/>
                <w:color w:val="000000"/>
                <w:sz w:val="24"/>
                <w:szCs w:val="24"/>
              </w:rPr>
            </w:pPr>
            <w:r>
              <w:rPr>
                <w:rFonts w:hint="eastAsia" w:hAnsi="宋体"/>
                <w:color w:val="000000"/>
                <w:sz w:val="24"/>
                <w:szCs w:val="24"/>
              </w:rPr>
              <w:t>1</w:t>
            </w:r>
          </w:p>
        </w:tc>
        <w:tc>
          <w:tcPr>
            <w:tcW w:w="2820" w:type="dxa"/>
            <w:shd w:val="clear" w:color="auto" w:fill="auto"/>
            <w:vAlign w:val="center"/>
          </w:tcPr>
          <w:p>
            <w:pPr>
              <w:widowControl/>
              <w:adjustRightInd w:val="0"/>
              <w:snapToGrid w:val="0"/>
              <w:jc w:val="left"/>
              <w:rPr>
                <w:rFonts w:hAnsi="宋体"/>
                <w:color w:val="000000"/>
                <w:sz w:val="24"/>
                <w:szCs w:val="24"/>
              </w:rPr>
            </w:pPr>
            <w:r>
              <w:rPr>
                <w:rFonts w:hint="eastAsia" w:hAnsi="宋体"/>
                <w:color w:val="000000"/>
                <w:sz w:val="24"/>
                <w:szCs w:val="24"/>
              </w:rPr>
              <w:t>公共教学部“课程思政”建设项目</w:t>
            </w:r>
          </w:p>
        </w:tc>
        <w:tc>
          <w:tcPr>
            <w:tcW w:w="3027" w:type="dxa"/>
            <w:shd w:val="clear" w:color="auto" w:fill="auto"/>
            <w:vAlign w:val="center"/>
          </w:tcPr>
          <w:p>
            <w:pPr>
              <w:widowControl/>
              <w:adjustRightInd w:val="0"/>
              <w:snapToGrid w:val="0"/>
              <w:jc w:val="left"/>
              <w:rPr>
                <w:rFonts w:hAnsi="宋体"/>
                <w:color w:val="000000"/>
                <w:sz w:val="24"/>
                <w:szCs w:val="24"/>
              </w:rPr>
            </w:pPr>
            <w:r>
              <w:rPr>
                <w:rFonts w:hint="eastAsia" w:hAnsi="宋体"/>
                <w:color w:val="000000"/>
                <w:sz w:val="24"/>
                <w:szCs w:val="24"/>
              </w:rPr>
              <w:t>从合同签订后1</w:t>
            </w:r>
            <w:r>
              <w:rPr>
                <w:rFonts w:hAnsi="宋体"/>
                <w:color w:val="000000"/>
                <w:sz w:val="24"/>
                <w:szCs w:val="24"/>
              </w:rPr>
              <w:t>.5</w:t>
            </w:r>
            <w:r>
              <w:rPr>
                <w:rFonts w:hint="eastAsia" w:hAnsi="宋体"/>
                <w:color w:val="000000"/>
                <w:sz w:val="24"/>
                <w:szCs w:val="24"/>
              </w:rPr>
              <w:t>月内完成视频拍摄、制作工作，并提供不少于五年的后期课程应用技术支持服务</w:t>
            </w:r>
          </w:p>
        </w:tc>
        <w:tc>
          <w:tcPr>
            <w:tcW w:w="1353" w:type="dxa"/>
            <w:shd w:val="clear" w:color="auto" w:fill="auto"/>
            <w:vAlign w:val="center"/>
          </w:tcPr>
          <w:p>
            <w:pPr>
              <w:widowControl/>
              <w:adjustRightInd w:val="0"/>
              <w:snapToGrid w:val="0"/>
              <w:jc w:val="center"/>
              <w:rPr>
                <w:rFonts w:hAnsi="宋体"/>
                <w:color w:val="000000"/>
                <w:sz w:val="24"/>
                <w:szCs w:val="24"/>
              </w:rPr>
            </w:pPr>
            <w:r>
              <w:rPr>
                <w:rFonts w:hAnsi="宋体"/>
                <w:color w:val="000000"/>
                <w:sz w:val="24"/>
                <w:szCs w:val="24"/>
              </w:rPr>
              <w:t>320</w:t>
            </w:r>
            <w:r>
              <w:rPr>
                <w:rFonts w:hint="eastAsia" w:hAnsi="宋体"/>
                <w:color w:val="000000"/>
                <w:sz w:val="24"/>
                <w:szCs w:val="24"/>
              </w:rPr>
              <w:t>分钟左右</w:t>
            </w:r>
          </w:p>
        </w:tc>
        <w:tc>
          <w:tcPr>
            <w:tcW w:w="1464" w:type="dxa"/>
            <w:shd w:val="clear" w:color="auto" w:fill="auto"/>
            <w:vAlign w:val="center"/>
          </w:tcPr>
          <w:p>
            <w:pPr>
              <w:widowControl/>
              <w:adjustRightInd w:val="0"/>
              <w:snapToGrid w:val="0"/>
              <w:jc w:val="center"/>
              <w:rPr>
                <w:rFonts w:hAnsi="宋体"/>
                <w:color w:val="000000"/>
                <w:sz w:val="24"/>
                <w:szCs w:val="24"/>
              </w:rPr>
            </w:pPr>
            <w:r>
              <w:rPr>
                <w:rFonts w:hint="eastAsia" w:hAnsi="宋体"/>
                <w:color w:val="000000"/>
                <w:sz w:val="24"/>
                <w:szCs w:val="24"/>
              </w:rPr>
              <w:t>6.</w:t>
            </w:r>
            <w:r>
              <w:rPr>
                <w:rFonts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64" w:type="dxa"/>
            <w:gridSpan w:val="4"/>
            <w:shd w:val="clear" w:color="auto" w:fill="auto"/>
            <w:vAlign w:val="center"/>
          </w:tcPr>
          <w:p>
            <w:pPr>
              <w:widowControl/>
              <w:adjustRightInd w:val="0"/>
              <w:snapToGrid w:val="0"/>
              <w:jc w:val="center"/>
              <w:rPr>
                <w:rFonts w:ascii="楷体" w:hAnsi="楷体" w:eastAsia="楷体" w:cs="楷体"/>
                <w:b/>
                <w:bCs/>
                <w:sz w:val="32"/>
                <w:szCs w:val="32"/>
              </w:rPr>
            </w:pPr>
          </w:p>
        </w:tc>
        <w:tc>
          <w:tcPr>
            <w:tcW w:w="1464" w:type="dxa"/>
            <w:shd w:val="clear" w:color="auto" w:fill="auto"/>
            <w:vAlign w:val="center"/>
          </w:tcPr>
          <w:p>
            <w:pPr>
              <w:widowControl/>
              <w:adjustRightInd w:val="0"/>
              <w:snapToGrid w:val="0"/>
              <w:jc w:val="center"/>
              <w:rPr>
                <w:rFonts w:ascii="楷体" w:hAnsi="楷体" w:eastAsia="楷体" w:cs="楷体"/>
                <w:b/>
                <w:bCs/>
                <w:sz w:val="32"/>
                <w:szCs w:val="32"/>
              </w:rPr>
            </w:pPr>
          </w:p>
        </w:tc>
      </w:tr>
    </w:tbl>
    <w:p>
      <w:pPr>
        <w:adjustRightInd w:val="0"/>
        <w:snapToGrid w:val="0"/>
        <w:spacing w:line="440" w:lineRule="exact"/>
        <w:ind w:firstLine="562" w:firstLineChars="200"/>
        <w:rPr>
          <w:rFonts w:hAnsi="宋体" w:cs="宋体"/>
          <w:b/>
          <w:bCs/>
          <w:sz w:val="28"/>
          <w:szCs w:val="28"/>
        </w:rPr>
      </w:pPr>
      <w:r>
        <w:rPr>
          <w:rFonts w:hint="eastAsia" w:hAnsi="宋体" w:cs="宋体"/>
          <w:b/>
          <w:bCs/>
          <w:sz w:val="28"/>
          <w:szCs w:val="28"/>
        </w:rPr>
        <w:t>二、项目服务及技术要求</w:t>
      </w:r>
    </w:p>
    <w:bookmarkEnd w:id="97"/>
    <w:p>
      <w:pPr>
        <w:adjustRightInd w:val="0"/>
        <w:snapToGrid w:val="0"/>
        <w:spacing w:line="440" w:lineRule="exact"/>
        <w:ind w:firstLine="480" w:firstLineChars="200"/>
        <w:rPr>
          <w:rFonts w:hAnsi="宋体"/>
          <w:bCs/>
          <w:sz w:val="24"/>
        </w:rPr>
      </w:pPr>
      <w:r>
        <w:rPr>
          <w:rFonts w:hint="eastAsia" w:hAnsi="宋体"/>
          <w:bCs/>
          <w:sz w:val="24"/>
        </w:rPr>
        <w:t>（一）课程设计</w:t>
      </w:r>
    </w:p>
    <w:p>
      <w:pPr>
        <w:adjustRightInd w:val="0"/>
        <w:snapToGrid w:val="0"/>
        <w:spacing w:line="440" w:lineRule="exact"/>
        <w:ind w:firstLine="480" w:firstLineChars="200"/>
        <w:rPr>
          <w:rFonts w:hAnsi="宋体"/>
          <w:bCs/>
          <w:sz w:val="24"/>
        </w:rPr>
      </w:pPr>
      <w:r>
        <w:rPr>
          <w:rFonts w:hint="eastAsia" w:hAnsi="宋体"/>
          <w:bCs/>
          <w:sz w:val="24"/>
        </w:rPr>
        <w:t>1</w:t>
      </w:r>
      <w:r>
        <w:rPr>
          <w:rFonts w:hAnsi="宋体"/>
          <w:bCs/>
          <w:sz w:val="24"/>
        </w:rPr>
        <w:t>.</w:t>
      </w:r>
      <w:r>
        <w:rPr>
          <w:rFonts w:hint="eastAsia" w:hAnsi="宋体"/>
          <w:bCs/>
          <w:sz w:val="24"/>
        </w:rPr>
        <w:t>教学设计要求：教学设计指导（由教育厅或教育部认定的课程思政教学名师或团队负责人担任）同课程主要负责人根据教学大纲制定整体教学设计方案。与教师、公共教学部沟通收集课程思政资料并根据课程量身定做创意策划，分镜头脚本梳理。解说词以及故事板。创意设计必须符合我方的要求，具有较强的视觉冲击力和艺术表现力。要求教学目标明确，思政元素融入恰当，思政教育的载体新颖，知识点或技能点教学策略得当，教学重难点突出，教学逻辑合理，能够有效的提升教学效果及思政育人效果，能够支撑教师的课堂教学、实训教学、学生的自主学习，典型知识点或技能点运用信息数字化手段合理且恰当。</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信息数字化要求：课程涉及信息数字化手段包含但不限于微视频、动画。对课程视频进行精准剪辑，每个知识点或一个典型案例制作成一个慕课视频，每个慕课视频7-1</w:t>
      </w:r>
      <w:r>
        <w:rPr>
          <w:sz w:val="24"/>
          <w:szCs w:val="24"/>
        </w:rPr>
        <w:t>0</w:t>
      </w:r>
      <w:r>
        <w:rPr>
          <w:rFonts w:hint="eastAsia"/>
          <w:sz w:val="24"/>
          <w:szCs w:val="24"/>
        </w:rPr>
        <w:t>分钟，最多不超过1</w:t>
      </w:r>
      <w:r>
        <w:rPr>
          <w:sz w:val="24"/>
          <w:szCs w:val="24"/>
        </w:rPr>
        <w:t>5</w:t>
      </w:r>
      <w:r>
        <w:rPr>
          <w:rFonts w:hint="eastAsia"/>
          <w:sz w:val="24"/>
          <w:szCs w:val="24"/>
        </w:rPr>
        <w:t>分钟。</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在课程的主讲教师明确教学目标的情况下，要求制作方根据教师提供的大纲文本、音频、视频、PPT 等课程参考素材细分知识点，设计思政元素，与课程教师按课程章节和知识点对有关课程资料进行美化和包装，包括但不限于课程 PPT、教案、拓展文档等资料。</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提前针对老师的讲课风格设计出一套适合老师讲课的拍摄方式和拍摄场景，并进行脚本设计与后期制作统筹策划。</w:t>
      </w:r>
    </w:p>
    <w:p>
      <w:pPr>
        <w:pStyle w:val="2"/>
        <w:adjustRightInd w:val="0"/>
        <w:snapToGrid w:val="0"/>
        <w:spacing w:line="440" w:lineRule="exact"/>
        <w:ind w:left="0" w:leftChars="0" w:firstLine="480"/>
        <w:rPr>
          <w:sz w:val="24"/>
          <w:szCs w:val="24"/>
        </w:rPr>
      </w:pPr>
      <w:r>
        <w:rPr>
          <w:rFonts w:hint="eastAsia"/>
          <w:sz w:val="24"/>
          <w:szCs w:val="24"/>
        </w:rPr>
        <w:t>5</w:t>
      </w:r>
      <w:r>
        <w:rPr>
          <w:sz w:val="24"/>
          <w:szCs w:val="24"/>
        </w:rPr>
        <w:t>.</w:t>
      </w:r>
      <w:r>
        <w:rPr>
          <w:rFonts w:hint="eastAsia"/>
          <w:sz w:val="24"/>
          <w:szCs w:val="24"/>
        </w:rPr>
        <w:t>教学设计指导、制作人与课程教师确定拍摄章节和知识点，根据课程内容进行策划制作效果，选择场地、服装搭配，协调拍摄注意事项等问题。</w:t>
      </w:r>
    </w:p>
    <w:p>
      <w:pPr>
        <w:pStyle w:val="2"/>
        <w:adjustRightInd w:val="0"/>
        <w:snapToGrid w:val="0"/>
        <w:spacing w:line="440" w:lineRule="exact"/>
        <w:ind w:left="0" w:leftChars="0" w:firstLine="0" w:firstLineChars="0"/>
        <w:rPr>
          <w:sz w:val="24"/>
          <w:szCs w:val="24"/>
        </w:rPr>
      </w:pPr>
      <w:r>
        <w:rPr>
          <w:rFonts w:hint="eastAsia"/>
          <w:sz w:val="24"/>
          <w:szCs w:val="24"/>
        </w:rPr>
        <w:t xml:space="preserve"> </w:t>
      </w:r>
      <w:r>
        <w:rPr>
          <w:sz w:val="24"/>
          <w:szCs w:val="24"/>
        </w:rPr>
        <w:t xml:space="preserve">   </w:t>
      </w:r>
      <w:r>
        <w:rPr>
          <w:rFonts w:hint="eastAsia"/>
          <w:sz w:val="24"/>
          <w:szCs w:val="24"/>
        </w:rPr>
        <w:t>（二）拍摄准备</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拍摄前对老师进行培训，包括拍摄时的发声、角度、表情、化妆等。要求拍摄前对老师进行培训，让老师可以根据课程内容梳理课程知识点及对应拍摄风格，能够让老师熟悉拍摄流程，尽快融入课程拍摄中。拍摄要与老师深度沟通，收集材料，协助起草课程脚本、拟定分组镜头大纲。配备专业拍摄人员，具备丰富的课程视频拍摄经验，能够灵活处理拍摄过程中的各类问题。</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录制场所及拍摄方式，为课程拍摄提供专业的摄影棚和相关配套设备。布置拍摄环境，及时联系教师，确定拍摄场地和时间。能够调动教师情绪，以确保教师在录制过程中保持最佳精神状态。为满足实际课程拍摄的需要，供应商需至少提供以下几种拍摄模式供课程负责老师选择。</w:t>
      </w:r>
    </w:p>
    <w:p>
      <w:pPr>
        <w:pStyle w:val="2"/>
        <w:adjustRightInd w:val="0"/>
        <w:snapToGrid w:val="0"/>
        <w:spacing w:line="440" w:lineRule="exact"/>
        <w:ind w:left="0" w:leftChars="0" w:firstLine="480"/>
        <w:rPr>
          <w:sz w:val="24"/>
          <w:szCs w:val="24"/>
        </w:rPr>
      </w:pPr>
      <w:r>
        <w:rPr>
          <w:rFonts w:hint="eastAsia"/>
          <w:sz w:val="24"/>
          <w:szCs w:val="24"/>
        </w:rPr>
        <w:t>（1）大屏 PPT 模式：在摄影棚内拍摄，全程 PPT 演示可展示教学素材。</w:t>
      </w:r>
    </w:p>
    <w:p>
      <w:pPr>
        <w:pStyle w:val="2"/>
        <w:adjustRightInd w:val="0"/>
        <w:snapToGrid w:val="0"/>
        <w:spacing w:line="440" w:lineRule="exact"/>
        <w:ind w:left="0" w:leftChars="0" w:firstLine="480"/>
        <w:rPr>
          <w:sz w:val="24"/>
          <w:szCs w:val="24"/>
        </w:rPr>
      </w:pPr>
      <w:r>
        <w:rPr>
          <w:rFonts w:hint="eastAsia"/>
          <w:sz w:val="24"/>
          <w:szCs w:val="24"/>
        </w:rPr>
        <w:t>（2）实景访谈模式：在摄影棚内摆拍根据访谈人数，设定机位数一般 2-3 机位，教学过程由多位老师交流讨论完成。适合启发性的、思维拓展和发散的课程内容。</w:t>
      </w:r>
    </w:p>
    <w:p>
      <w:pPr>
        <w:pStyle w:val="2"/>
        <w:adjustRightInd w:val="0"/>
        <w:snapToGrid w:val="0"/>
        <w:spacing w:line="440" w:lineRule="exact"/>
        <w:ind w:left="0" w:leftChars="0" w:firstLine="480"/>
        <w:rPr>
          <w:sz w:val="24"/>
          <w:szCs w:val="24"/>
        </w:rPr>
      </w:pPr>
      <w:r>
        <w:rPr>
          <w:rFonts w:hint="eastAsia"/>
          <w:sz w:val="24"/>
          <w:szCs w:val="24"/>
        </w:rPr>
        <w:t>（3）实景演示模式：在实训基地安排多机位拍摄通过实际操作演示完成教学过程。</w:t>
      </w:r>
    </w:p>
    <w:p>
      <w:pPr>
        <w:pStyle w:val="2"/>
        <w:adjustRightInd w:val="0"/>
        <w:snapToGrid w:val="0"/>
        <w:spacing w:line="440" w:lineRule="exact"/>
        <w:ind w:left="0" w:leftChars="0" w:firstLine="480"/>
        <w:rPr>
          <w:sz w:val="24"/>
          <w:szCs w:val="24"/>
        </w:rPr>
      </w:pPr>
      <w:r>
        <w:rPr>
          <w:rFonts w:hint="eastAsia"/>
          <w:sz w:val="24"/>
          <w:szCs w:val="24"/>
        </w:rPr>
        <w:t>（4）黑白背模式：在摄影棚内按照脚本设计完成课程拍摄，后期配动态背景可以根据老师讲课风格特点增加课程趣味性。</w:t>
      </w:r>
    </w:p>
    <w:p>
      <w:pPr>
        <w:pStyle w:val="2"/>
        <w:adjustRightInd w:val="0"/>
        <w:snapToGrid w:val="0"/>
        <w:spacing w:line="440" w:lineRule="exact"/>
        <w:ind w:left="0" w:leftChars="0" w:firstLine="480"/>
        <w:rPr>
          <w:sz w:val="24"/>
          <w:szCs w:val="24"/>
        </w:rPr>
      </w:pPr>
      <w:r>
        <w:rPr>
          <w:rFonts w:hint="eastAsia"/>
          <w:sz w:val="24"/>
          <w:szCs w:val="24"/>
        </w:rPr>
        <w:t>（5）虚拟抠像模式：老师在基地摄影棚内完成虚拟背景拍摄，后期用抠像模式展现课程，可根据课程特点加入各种风格的背景等。</w:t>
      </w:r>
    </w:p>
    <w:p>
      <w:pPr>
        <w:pStyle w:val="2"/>
        <w:adjustRightInd w:val="0"/>
        <w:snapToGrid w:val="0"/>
        <w:spacing w:line="440" w:lineRule="exact"/>
        <w:ind w:left="0" w:leftChars="0" w:firstLine="480"/>
        <w:rPr>
          <w:sz w:val="24"/>
          <w:szCs w:val="24"/>
        </w:rPr>
      </w:pPr>
      <w:r>
        <w:rPr>
          <w:rFonts w:hint="eastAsia"/>
          <w:sz w:val="24"/>
          <w:szCs w:val="24"/>
        </w:rPr>
        <w:t>（6）真人动画模式：在摄影棚内按照脚本设计完成课程拍摄，后期配动画可以根据老师讲课风格特点增加课程趣味性。</w:t>
      </w:r>
    </w:p>
    <w:p>
      <w:pPr>
        <w:pStyle w:val="2"/>
        <w:adjustRightInd w:val="0"/>
        <w:snapToGrid w:val="0"/>
        <w:spacing w:line="440" w:lineRule="exact"/>
        <w:ind w:left="0" w:leftChars="0" w:firstLine="480"/>
        <w:rPr>
          <w:sz w:val="24"/>
          <w:szCs w:val="24"/>
        </w:rPr>
      </w:pPr>
      <w:r>
        <w:rPr>
          <w:rFonts w:hint="eastAsia"/>
          <w:sz w:val="24"/>
          <w:szCs w:val="24"/>
        </w:rPr>
        <w:t>（7）完全动画模式：老师根据讲稿在基地摄影棚内完成高音质录音，后期用动画模式展现课程，可根据课程特点加入诙谐幽默等风格的配音动画等。</w:t>
      </w:r>
    </w:p>
    <w:p>
      <w:pPr>
        <w:pStyle w:val="2"/>
        <w:adjustRightInd w:val="0"/>
        <w:snapToGrid w:val="0"/>
        <w:spacing w:line="440" w:lineRule="exact"/>
        <w:ind w:left="0" w:leftChars="0" w:firstLine="480"/>
        <w:rPr>
          <w:sz w:val="24"/>
          <w:szCs w:val="24"/>
        </w:rPr>
      </w:pPr>
      <w:r>
        <w:rPr>
          <w:rFonts w:hint="eastAsia"/>
          <w:sz w:val="24"/>
          <w:szCs w:val="24"/>
        </w:rPr>
        <w:t>根据拍摄技术标准和课程内容，设计贴合教师授课特点的拍摄形式，与教师沟通说明拍摄要求，并为教师提供专业的妆容、着装意见。</w:t>
      </w:r>
    </w:p>
    <w:p>
      <w:pPr>
        <w:pStyle w:val="2"/>
        <w:adjustRightInd w:val="0"/>
        <w:snapToGrid w:val="0"/>
        <w:spacing w:line="440" w:lineRule="exact"/>
        <w:ind w:left="0" w:leftChars="0" w:firstLine="480"/>
        <w:rPr>
          <w:sz w:val="24"/>
          <w:szCs w:val="24"/>
        </w:rPr>
      </w:pPr>
      <w:r>
        <w:rPr>
          <w:rFonts w:hint="eastAsia"/>
          <w:sz w:val="24"/>
          <w:szCs w:val="24"/>
        </w:rPr>
        <w:t>（三）设备要求</w:t>
      </w:r>
    </w:p>
    <w:p>
      <w:pPr>
        <w:pStyle w:val="2"/>
        <w:adjustRightInd w:val="0"/>
        <w:snapToGrid w:val="0"/>
        <w:spacing w:line="440" w:lineRule="exact"/>
        <w:ind w:left="0" w:leftChars="0" w:firstLine="480"/>
        <w:rPr>
          <w:sz w:val="24"/>
          <w:szCs w:val="24"/>
        </w:rPr>
      </w:pPr>
      <w:r>
        <w:rPr>
          <w:rFonts w:hint="eastAsia"/>
          <w:sz w:val="24"/>
          <w:szCs w:val="24"/>
        </w:rPr>
        <w:t>必须运用专业的拍摄设备和辅助及灯光设备，拍摄手段丰富，镜头运动方式多样，在视听效果上要求音乐与画面统一协调达到最佳的视听感受。</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制作方提供多场地专业课程录影棚作为拍摄场地，需在拍摄场地专门搭建符合不同课程内容特点的教学场景，以方便用于课程拍摄制作。</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录像设备：使用 2 台或以上专业级高清 4k 及以上数字设备，保证设备能正常完成拍摄任务。多机位部署专业广播级 4k 高清摄像机（至少 3 机位），最大像素不低于 1160 万，摄像机拍摄时采用分辨率为 4096×2160，60fps 的要求，录制视频宽高比 16:9，视频帧率为 25 帧/秒。拍摄设备要同型同款，多台高清摄像机保证录制效果的一致性；收音设备：使用至少 3 个专业领夹收声设备，保证教师和学生发言的录音质量。</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应为拍摄场地配备三基色灯光系统或专业演播室用 LED 灯光系统、聚光灯、音响系统、吊装式麦克风和无线佩戴式麦克风若干等，保证录音、录像质量；监听设备：监听耳机 3 副。录音设备：根据课程内容要求，使用专业级话筒，保证主讲教师及与课程相关人员声音清晰。存储设备：专业储存设备及有效容量应能保证正常完成拍摄任务。</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应为拍摄场地配备专业投影题词设备、中控台等设备；辅助记忆设备（提词器）1 套。后期制作设备须采用专业非线编辑系统(1920*50M/S)进行（如抠像、颜色校正、双声道处理）。</w:t>
      </w:r>
    </w:p>
    <w:p>
      <w:pPr>
        <w:pStyle w:val="2"/>
        <w:adjustRightInd w:val="0"/>
        <w:snapToGrid w:val="0"/>
        <w:spacing w:line="440" w:lineRule="exact"/>
        <w:ind w:left="0" w:leftChars="0" w:firstLine="480"/>
        <w:rPr>
          <w:sz w:val="24"/>
          <w:szCs w:val="24"/>
        </w:rPr>
      </w:pPr>
      <w:r>
        <w:rPr>
          <w:rFonts w:hint="eastAsia" w:hAnsi="宋体" w:cs="宋体"/>
          <w:bCs/>
          <w:sz w:val="24"/>
          <w:szCs w:val="24"/>
        </w:rPr>
        <w:t>★</w:t>
      </w:r>
      <w:r>
        <w:rPr>
          <w:rFonts w:hint="eastAsia"/>
          <w:sz w:val="24"/>
          <w:szCs w:val="24"/>
        </w:rPr>
        <w:t>（四）视频要求</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画面清晰、通透，曝光正确、适度，色彩还原准确。节目图像连续、无缺失，没有与课程内容无关的跳动、闪烁或马赛克等异常现象，图像的明暗、色彩和层次应与节目内容相对应。在同一门课程中标清和高清格式不得混用。</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片头片尾制作，长度 4-10 秒钟，能够体现课程的思政特色，形式新颖，具有学校元素以及适当的音乐；片头或片尾应使用体现课程所属院校、机构特色的素材；片头或片尾中应出现明显、不失真的课程所属院校、机构的字样和标志。</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制作有课程特色和学校特色的课程封图：文件格式 jpg 或 gif，图片大小不低于 1024*768，风格清新自然，有吸引力。制作课程资源添加学校 LOGO：视频的相应位置加学校 LOGO 标志，标识应明显、且不影响正常视频内容。在视频中不得出现制作公司署名。</w:t>
      </w:r>
    </w:p>
    <w:p>
      <w:pPr>
        <w:pStyle w:val="2"/>
        <w:adjustRightInd w:val="0"/>
        <w:snapToGrid w:val="0"/>
        <w:spacing w:line="440" w:lineRule="exact"/>
        <w:ind w:left="0" w:leftChars="0" w:firstLine="480"/>
        <w:rPr>
          <w:sz w:val="24"/>
          <w:szCs w:val="24"/>
        </w:rPr>
      </w:pPr>
      <w:r>
        <w:rPr>
          <w:rFonts w:hint="eastAsia"/>
          <w:sz w:val="24"/>
          <w:szCs w:val="24"/>
        </w:rPr>
        <w:t>4</w:t>
      </w:r>
      <w:r>
        <w:rPr>
          <w:sz w:val="24"/>
          <w:szCs w:val="24"/>
        </w:rPr>
        <w:t>.</w:t>
      </w:r>
      <w:r>
        <w:rPr>
          <w:rFonts w:hint="eastAsia"/>
          <w:sz w:val="24"/>
          <w:szCs w:val="24"/>
        </w:rPr>
        <w:t>对授课内容按照教学过程、知识点等进行切割，并打上标签，便于检索。对于视频可提供多种全文检索方式：标题检索、主讲人检索、主讲人单位检索、知识节点检索。</w:t>
      </w:r>
    </w:p>
    <w:p>
      <w:pPr>
        <w:pStyle w:val="2"/>
        <w:adjustRightInd w:val="0"/>
        <w:snapToGrid w:val="0"/>
        <w:spacing w:line="440" w:lineRule="exact"/>
        <w:ind w:left="0" w:leftChars="0" w:firstLine="480"/>
        <w:rPr>
          <w:sz w:val="24"/>
          <w:szCs w:val="24"/>
        </w:rPr>
      </w:pPr>
      <w:r>
        <w:rPr>
          <w:rFonts w:hint="eastAsia"/>
          <w:sz w:val="24"/>
          <w:szCs w:val="24"/>
        </w:rPr>
        <w:t>（五）视频拍摄技术指标</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视频信号源，稳定性：全片图像同步性能稳定，无失步现象，CTL 同步控制信号必须连续；图像无抖动跳跃，色彩无突变，编辑点处图像稳定。信噪比：图像信噪比不低于 55dB，无明显杂波。色调：白平衡正确，无明显偏色，多机拍摄的镜头衔接处无明显色差。视频电平：视频全讯号幅度为 1Ⅴp-p，最大不超过 1.1Ⅴp-p。其中，消隐电平为 0V 时，白电平幅度 0.7Ⅴp-p，同步信号-0.3V，色同步信号幅度 0.3Vp-p(以消隐线上下对称)，全片一致。</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音频信号源声道：中文内容音频信号记录于第 1 声道，音乐、音效、同期声记录于第 2 声道，若有其他文字解说记录于第 3 声道（如录音设备无第 3声道，则录于第 2 声道）。电平指标：-2db— -8db 声音应清晰、饱满、圆润，无失真、放音过冲、过弱。音频信噪比不低于 48db。声音和画面要求同步，无交流声或其他杂音等缺陷。伴音清晰、饱满、圆润，无失真、噪声杂音干扰、音量忽大忽小现象。解说声与现场声无明显比例失调。</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如果课程无法在制作方提供的摄影棚完成拍摄，则由学校指定录制地点和录制时间，供应商必须服从学校安排，委派专业录制技术人员，供应商自备录制设备，按照学校录制服务的要求，每次录制必须提前十分钟到场，布置录制事宜。</w:t>
      </w:r>
    </w:p>
    <w:p>
      <w:pPr>
        <w:pStyle w:val="2"/>
        <w:adjustRightInd w:val="0"/>
        <w:snapToGrid w:val="0"/>
        <w:spacing w:line="440" w:lineRule="exact"/>
        <w:ind w:left="0" w:leftChars="0" w:firstLine="480"/>
        <w:rPr>
          <w:sz w:val="24"/>
          <w:szCs w:val="24"/>
        </w:rPr>
      </w:pPr>
      <w:r>
        <w:rPr>
          <w:rFonts w:hint="eastAsia"/>
          <w:sz w:val="24"/>
          <w:szCs w:val="24"/>
        </w:rPr>
        <w:t>（六）视频图像质量标准</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视频编码方式 H.264.MP4(视频压缩采用 H.264 编码方式，封装格式采用 MP4)，视频分辨率提交的高清成片不低于 1920*1080 像素，同时还需分辨率不低于 720*480 像素的标清文件，视频码率 8Mbps 以上，视频帧率不低于 25fps，提供片头和片尾设计和制作；</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视频画幅宽高比：宽高比为 16:9;在同一课程中，各讲应统一画幅的宽高比，不得混用；视频信噪比：图像信噪比不低于 55dB，无明显杂波；</w:t>
      </w:r>
    </w:p>
    <w:p>
      <w:pPr>
        <w:pStyle w:val="2"/>
        <w:adjustRightInd w:val="0"/>
        <w:snapToGrid w:val="0"/>
        <w:spacing w:line="440" w:lineRule="exact"/>
        <w:ind w:left="0" w:leftChars="0" w:firstLine="480"/>
        <w:rPr>
          <w:sz w:val="24"/>
          <w:szCs w:val="24"/>
        </w:rPr>
      </w:pPr>
      <w:r>
        <w:rPr>
          <w:sz w:val="24"/>
          <w:szCs w:val="24"/>
        </w:rPr>
        <w:t>3.</w:t>
      </w:r>
      <w:r>
        <w:rPr>
          <w:rFonts w:hint="eastAsia"/>
          <w:sz w:val="24"/>
          <w:szCs w:val="24"/>
        </w:rPr>
        <w:t>色调：白平衡正确，无明显偏色，多机拍摄的镜头衔接处无明显色差；稳定性：全片图像同步性能稳定，无失步现象，图像无过亮、过暗，人、物移动时无拖影、耀光现象，剪辑点处图像稳定，衔接自然，无空白帧，无其他图像质量问题，场景切换自然流畅，色彩无突变，画面无晃动、抖动、模糊聚焦和镜头频繁拉伸等。</w:t>
      </w:r>
    </w:p>
    <w:p>
      <w:pPr>
        <w:pStyle w:val="2"/>
        <w:adjustRightInd w:val="0"/>
        <w:snapToGrid w:val="0"/>
        <w:spacing w:line="440" w:lineRule="exact"/>
        <w:ind w:left="0" w:leftChars="0" w:firstLine="480"/>
        <w:rPr>
          <w:sz w:val="24"/>
          <w:szCs w:val="24"/>
        </w:rPr>
      </w:pPr>
      <w:r>
        <w:rPr>
          <w:sz w:val="24"/>
          <w:szCs w:val="24"/>
        </w:rPr>
        <w:t>4.</w:t>
      </w:r>
      <w:r>
        <w:rPr>
          <w:rFonts w:hint="eastAsia"/>
          <w:sz w:val="24"/>
          <w:szCs w:val="24"/>
        </w:rPr>
        <w:t>后期特效保证画面美观、色彩真实，符合摄影构图规则；视频编码、视频分辨率、视频画幅宽高比，根据不同的使用需求，可进行必要更换，具体由需求方确定。</w:t>
      </w:r>
    </w:p>
    <w:p>
      <w:pPr>
        <w:pStyle w:val="2"/>
        <w:adjustRightInd w:val="0"/>
        <w:snapToGrid w:val="0"/>
        <w:spacing w:line="440" w:lineRule="exact"/>
        <w:ind w:left="0" w:leftChars="0" w:firstLine="480"/>
        <w:rPr>
          <w:sz w:val="24"/>
          <w:szCs w:val="24"/>
        </w:rPr>
      </w:pPr>
      <w:r>
        <w:rPr>
          <w:rFonts w:hint="eastAsia"/>
          <w:sz w:val="24"/>
          <w:szCs w:val="24"/>
        </w:rPr>
        <w:t>（七）视频压缩格式及技术参数</w:t>
      </w:r>
    </w:p>
    <w:p>
      <w:pPr>
        <w:pStyle w:val="2"/>
        <w:adjustRightInd w:val="0"/>
        <w:snapToGrid w:val="0"/>
        <w:spacing w:line="440" w:lineRule="exact"/>
        <w:ind w:left="0" w:leftChars="0" w:firstLine="480"/>
        <w:rPr>
          <w:sz w:val="24"/>
          <w:szCs w:val="24"/>
        </w:rPr>
      </w:pPr>
      <w:r>
        <w:rPr>
          <w:rFonts w:hint="eastAsia"/>
          <w:sz w:val="24"/>
          <w:szCs w:val="24"/>
        </w:rPr>
        <w:t>全片图像同步性能稳定,无失步现象，图像无抖动跳跃，色彩无突变，编辑点处图像稳定。白平衡正确，无明显偏色，多机拍摄的镜头衔接处无明显色差。</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视频压缩采用 H.264/AVC (MPEG-4 Part10)编码、使用二次编码、不包含字幕的 MP4 格式。</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视频码流率:动态码流的最高码率不高于 4M，最低码率不得低于 1.5M；视频分辨率:采用高清 16:9 拍摄时，设定为 1920×1080；视频画幅宽高比分辨率设定为 1920×1080,选定 16:9；视频帧率为 25 帧/秒。扫描方式采用逐行扫描。</w:t>
      </w:r>
    </w:p>
    <w:p>
      <w:pPr>
        <w:pStyle w:val="2"/>
        <w:adjustRightInd w:val="0"/>
        <w:snapToGrid w:val="0"/>
        <w:spacing w:line="440" w:lineRule="exact"/>
        <w:ind w:left="0" w:leftChars="0" w:firstLine="480"/>
        <w:rPr>
          <w:sz w:val="24"/>
          <w:szCs w:val="24"/>
        </w:rPr>
      </w:pPr>
      <w:r>
        <w:rPr>
          <w:rFonts w:hint="eastAsia"/>
          <w:sz w:val="24"/>
          <w:szCs w:val="24"/>
        </w:rPr>
        <w:t>（八）音频压缩格式及技术参数</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音频格式采用线性高级音频编码格式，Linear AAC (Advanced AudioCoding)；音频采样率不低于 48KHz；音频码率不低于 1.4Mbps；音频电平：-6db——0db；音频信噪比大于 50db。</w:t>
      </w:r>
    </w:p>
    <w:p>
      <w:pPr>
        <w:pStyle w:val="2"/>
        <w:adjustRightInd w:val="0"/>
        <w:snapToGrid w:val="0"/>
        <w:spacing w:line="440" w:lineRule="exact"/>
        <w:ind w:left="0" w:leftChars="0" w:firstLine="480"/>
        <w:rPr>
          <w:sz w:val="24"/>
          <w:szCs w:val="24"/>
        </w:rPr>
      </w:pPr>
      <w:r>
        <w:rPr>
          <w:sz w:val="24"/>
          <w:szCs w:val="24"/>
        </w:rPr>
        <w:t>2.</w:t>
      </w:r>
      <w:r>
        <w:rPr>
          <w:rFonts w:hint="eastAsia"/>
          <w:sz w:val="24"/>
          <w:szCs w:val="24"/>
        </w:rPr>
        <w:t>至少是双声道，做混音处理；声音效果，声音和画面同步，无明显失真、无明显噪音、回声或其它杂音，无音量忽大忽小现象；伴音清晰、饱满、圆润，解说声与现场声无明显比例失调，解说声与背景音乐无明显比例失调，无其他声音质量问题。</w:t>
      </w:r>
    </w:p>
    <w:p>
      <w:pPr>
        <w:pStyle w:val="2"/>
        <w:adjustRightInd w:val="0"/>
        <w:snapToGrid w:val="0"/>
        <w:spacing w:line="440" w:lineRule="exact"/>
        <w:ind w:left="0" w:leftChars="0" w:firstLine="480"/>
        <w:rPr>
          <w:sz w:val="24"/>
          <w:szCs w:val="24"/>
        </w:rPr>
      </w:pPr>
      <w:r>
        <w:rPr>
          <w:rFonts w:hint="eastAsia"/>
          <w:sz w:val="24"/>
          <w:szCs w:val="24"/>
        </w:rPr>
        <w:t>（九）外挂字幕文件</w:t>
      </w:r>
    </w:p>
    <w:p>
      <w:pPr>
        <w:pStyle w:val="2"/>
        <w:adjustRightInd w:val="0"/>
        <w:snapToGrid w:val="0"/>
        <w:spacing w:line="440" w:lineRule="exact"/>
        <w:ind w:left="0" w:leftChars="0" w:firstLine="480"/>
        <w:rPr>
          <w:sz w:val="24"/>
          <w:szCs w:val="24"/>
        </w:rPr>
      </w:pPr>
      <w:r>
        <w:rPr>
          <w:rFonts w:hint="eastAsia"/>
          <w:sz w:val="24"/>
          <w:szCs w:val="24"/>
        </w:rPr>
        <w:t>对老师讲课的内容进行全片外挂唱词的添加，生成外挂唱词文件。</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字幕要使用符合国家标准的规范字，不出现繁体字、异体字（国家规定的除外）、错别字。字幕无口述性逻辑错误，单行显示，每行不超过 15 字，但不能简单按照字数断句，以内容为断句依据。</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字幕的字体、大小、色彩搭配、摆放位置、停留时间、出入屏方式力求与其他要素〔画面、解说词、音乐） 配合适当，不破坏原有画面。字幕采用 UTF-8 编码，时间轴准确，字幕出现时间与视频声音一致，音频对轨误差不超过 500 毫秒。</w:t>
      </w:r>
    </w:p>
    <w:p>
      <w:pPr>
        <w:pStyle w:val="2"/>
        <w:adjustRightInd w:val="0"/>
        <w:snapToGrid w:val="0"/>
        <w:spacing w:line="440" w:lineRule="exact"/>
        <w:ind w:left="0" w:leftChars="0" w:firstLine="480"/>
        <w:rPr>
          <w:sz w:val="24"/>
          <w:szCs w:val="24"/>
        </w:rPr>
      </w:pPr>
      <w:r>
        <w:rPr>
          <w:rFonts w:hint="eastAsia"/>
          <w:sz w:val="24"/>
          <w:szCs w:val="24"/>
        </w:rPr>
        <w:t>3</w:t>
      </w:r>
      <w:r>
        <w:rPr>
          <w:sz w:val="24"/>
          <w:szCs w:val="24"/>
        </w:rPr>
        <w:t>.</w:t>
      </w:r>
      <w:r>
        <w:rPr>
          <w:rFonts w:hint="eastAsia"/>
          <w:sz w:val="24"/>
          <w:szCs w:val="24"/>
        </w:rPr>
        <w:t>字幕不能固定加在视频上，必须以单独的 SRT 文件格式提供。成片需生成无字幕版本和中英文字幕版本各一个。</w:t>
      </w:r>
    </w:p>
    <w:p>
      <w:pPr>
        <w:pStyle w:val="2"/>
        <w:adjustRightInd w:val="0"/>
        <w:snapToGrid w:val="0"/>
        <w:spacing w:line="440" w:lineRule="exact"/>
        <w:ind w:left="0" w:leftChars="0" w:firstLine="480"/>
        <w:rPr>
          <w:sz w:val="24"/>
          <w:szCs w:val="24"/>
        </w:rPr>
      </w:pPr>
      <w:r>
        <w:rPr>
          <w:rFonts w:hint="eastAsia"/>
          <w:sz w:val="24"/>
          <w:szCs w:val="24"/>
        </w:rPr>
        <w:t>（十）拍摄机位场景标准</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在线课程拍摄，应使用至少 2 机位多镜头同时拍摄，其中老师特写、全景机位各一台；</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拍摄场景具备人物特写、板书特写、人物中景、全景扫描等场景功能。</w:t>
      </w:r>
    </w:p>
    <w:p>
      <w:pPr>
        <w:pStyle w:val="2"/>
        <w:adjustRightInd w:val="0"/>
        <w:snapToGrid w:val="0"/>
        <w:spacing w:line="440" w:lineRule="exact"/>
        <w:ind w:left="0" w:leftChars="0" w:firstLine="480"/>
        <w:rPr>
          <w:sz w:val="24"/>
          <w:szCs w:val="24"/>
        </w:rPr>
      </w:pPr>
      <w:r>
        <w:rPr>
          <w:rFonts w:hint="eastAsia"/>
          <w:sz w:val="24"/>
          <w:szCs w:val="24"/>
        </w:rPr>
        <w:t>（十一）视频剪辑与后期包装</w:t>
      </w:r>
    </w:p>
    <w:p>
      <w:pPr>
        <w:pStyle w:val="2"/>
        <w:adjustRightInd w:val="0"/>
        <w:snapToGrid w:val="0"/>
        <w:spacing w:line="440" w:lineRule="exact"/>
        <w:ind w:left="0" w:leftChars="0" w:firstLine="480"/>
        <w:rPr>
          <w:sz w:val="24"/>
          <w:szCs w:val="24"/>
        </w:rPr>
      </w:pPr>
      <w:r>
        <w:rPr>
          <w:rFonts w:hint="eastAsia"/>
          <w:sz w:val="24"/>
          <w:szCs w:val="24"/>
        </w:rPr>
        <w:t>1</w:t>
      </w:r>
      <w:r>
        <w:rPr>
          <w:sz w:val="24"/>
          <w:szCs w:val="24"/>
        </w:rPr>
        <w:t>.</w:t>
      </w:r>
      <w:r>
        <w:rPr>
          <w:rFonts w:hint="eastAsia"/>
          <w:sz w:val="24"/>
          <w:szCs w:val="24"/>
        </w:rPr>
        <w:t>剪辑流畅，无生硬镜头，无空白帧，转场特效明确、自然。视频压缩格式及技术参数：视频压缩采用 H.264/AVC(MPEG-4 Part10)编码、使用二次编码、不包含字幕的 MP4 格式。</w:t>
      </w:r>
    </w:p>
    <w:p>
      <w:pPr>
        <w:pStyle w:val="2"/>
        <w:adjustRightInd w:val="0"/>
        <w:snapToGrid w:val="0"/>
        <w:spacing w:line="440" w:lineRule="exact"/>
        <w:ind w:left="0" w:leftChars="0" w:firstLine="480"/>
        <w:rPr>
          <w:sz w:val="24"/>
          <w:szCs w:val="24"/>
        </w:rPr>
      </w:pPr>
      <w:r>
        <w:rPr>
          <w:rFonts w:hint="eastAsia"/>
          <w:sz w:val="24"/>
          <w:szCs w:val="24"/>
        </w:rPr>
        <w:t>2</w:t>
      </w:r>
      <w:r>
        <w:rPr>
          <w:sz w:val="24"/>
          <w:szCs w:val="24"/>
        </w:rPr>
        <w:t>.</w:t>
      </w:r>
      <w:r>
        <w:rPr>
          <w:rFonts w:hint="eastAsia"/>
          <w:sz w:val="24"/>
          <w:szCs w:val="24"/>
        </w:rPr>
        <w:t>视频码流率：动态码流的最高码率不高于 2500Kbps，最低码率不得低于 1024Kbps。视频分辨率：前期采用高清 16:9 拍摄时，设定为 1024×576。在同一课程中，各讲的视频分辨率统一，统一高清。视频画幅宽高比：分辨率设定为 1024×576 的，选定为 16:9。在同一课程中，各讲画幅的宽高比统一。视频帧率为 25 帧/秒。扫描方式采用逐行扫描。</w:t>
      </w:r>
    </w:p>
    <w:p>
      <w:pPr>
        <w:pStyle w:val="2"/>
        <w:adjustRightInd w:val="0"/>
        <w:snapToGrid w:val="0"/>
        <w:spacing w:line="440" w:lineRule="exact"/>
        <w:ind w:left="0" w:leftChars="0" w:firstLine="480"/>
        <w:rPr>
          <w:sz w:val="24"/>
          <w:szCs w:val="24"/>
        </w:rPr>
      </w:pPr>
      <w:r>
        <w:rPr>
          <w:sz w:val="24"/>
          <w:szCs w:val="24"/>
        </w:rPr>
        <w:t>3.</w:t>
      </w:r>
      <w:r>
        <w:rPr>
          <w:rFonts w:hint="eastAsia"/>
          <w:sz w:val="24"/>
          <w:szCs w:val="24"/>
        </w:rPr>
        <w:t>音频压缩格式及技术参数：</w:t>
      </w:r>
    </w:p>
    <w:p>
      <w:pPr>
        <w:pStyle w:val="2"/>
        <w:adjustRightInd w:val="0"/>
        <w:snapToGrid w:val="0"/>
        <w:spacing w:line="440" w:lineRule="exact"/>
        <w:ind w:left="0" w:leftChars="0" w:firstLine="480"/>
        <w:rPr>
          <w:sz w:val="24"/>
          <w:szCs w:val="24"/>
        </w:rPr>
      </w:pPr>
      <w:r>
        <w:rPr>
          <w:rFonts w:hint="eastAsia"/>
          <w:sz w:val="24"/>
          <w:szCs w:val="24"/>
        </w:rPr>
        <w:t>音频压缩采用 AAC(MPEG4 Part3)格式。采样率 48KHz。音频码流率128Kbps(恒定)。必须是双声道及以上，须做混音处理。期编辑制作需按照校方要求进行，并积极补充拍摄镜头，确保制作效果。</w:t>
      </w:r>
    </w:p>
    <w:p>
      <w:pPr>
        <w:pStyle w:val="2"/>
        <w:adjustRightInd w:val="0"/>
        <w:snapToGrid w:val="0"/>
        <w:spacing w:line="440" w:lineRule="exact"/>
        <w:ind w:left="0" w:leftChars="0" w:firstLine="480"/>
        <w:rPr>
          <w:sz w:val="24"/>
          <w:szCs w:val="24"/>
        </w:rPr>
      </w:pPr>
      <w:r>
        <w:rPr>
          <w:sz w:val="24"/>
          <w:szCs w:val="24"/>
        </w:rPr>
        <w:t>4.</w:t>
      </w:r>
      <w:r>
        <w:rPr>
          <w:rFonts w:hint="eastAsia"/>
          <w:sz w:val="24"/>
          <w:szCs w:val="24"/>
        </w:rPr>
        <w:t>在课程制作过程中，要求采集授课教师的电脑端的各种应用程序的操作过程；课程制作设备能够单独采集 PPT，并与摄像机等信号进行导播切换。</w:t>
      </w:r>
    </w:p>
    <w:p>
      <w:pPr>
        <w:pStyle w:val="2"/>
        <w:adjustRightInd w:val="0"/>
        <w:snapToGrid w:val="0"/>
        <w:spacing w:line="440" w:lineRule="exact"/>
        <w:ind w:left="0" w:leftChars="0" w:firstLine="480"/>
        <w:rPr>
          <w:sz w:val="24"/>
          <w:szCs w:val="24"/>
        </w:rPr>
      </w:pPr>
      <w:r>
        <w:rPr>
          <w:sz w:val="24"/>
          <w:szCs w:val="24"/>
        </w:rPr>
        <w:t>5.</w:t>
      </w:r>
      <w:r>
        <w:rPr>
          <w:rFonts w:hint="eastAsia"/>
          <w:sz w:val="24"/>
          <w:szCs w:val="24"/>
        </w:rPr>
        <w:t>为实现情景教学，要求还原现场环境，例如：手机拍摄或其他摄像设备拍摄的 360 度全景照片，导入到课程制作设备中，可以做三维场景使用，主讲人通过抠像技术仿佛置身在现场，并且可以实现摄像机在场景中的推拉摇移、360度选装。</w:t>
      </w:r>
    </w:p>
    <w:p>
      <w:pPr>
        <w:pStyle w:val="2"/>
        <w:adjustRightInd w:val="0"/>
        <w:snapToGrid w:val="0"/>
        <w:spacing w:line="440" w:lineRule="exact"/>
        <w:ind w:left="0" w:leftChars="0" w:firstLine="480"/>
        <w:rPr>
          <w:sz w:val="24"/>
          <w:szCs w:val="24"/>
        </w:rPr>
      </w:pPr>
      <w:r>
        <w:rPr>
          <w:sz w:val="24"/>
          <w:szCs w:val="24"/>
        </w:rPr>
        <w:t>6.</w:t>
      </w:r>
      <w:r>
        <w:rPr>
          <w:rFonts w:hint="eastAsia"/>
          <w:sz w:val="24"/>
          <w:szCs w:val="24"/>
        </w:rPr>
        <w:t>为实现交互课件制作，要求自动人机交互，自动调入三维动画元素、并根据触发不同热点实现三维动画元素的入场、出场等操作。要求课程制作设备支持多通道三维虚拟抠像功能，对同一个老师叠加三个不同的三维虚拟场景，同时三个不同的三维场景可以随时切换，并直播给大屏；且每个三维场景可以实现推拉摇移功能。</w:t>
      </w:r>
    </w:p>
    <w:p>
      <w:pPr>
        <w:pStyle w:val="2"/>
        <w:adjustRightInd w:val="0"/>
        <w:snapToGrid w:val="0"/>
        <w:spacing w:line="440" w:lineRule="exact"/>
        <w:ind w:left="0" w:leftChars="0" w:firstLine="480"/>
        <w:rPr>
          <w:sz w:val="24"/>
          <w:szCs w:val="24"/>
        </w:rPr>
      </w:pPr>
      <w:r>
        <w:rPr>
          <w:sz w:val="24"/>
          <w:szCs w:val="24"/>
        </w:rPr>
        <w:t>7.</w:t>
      </w:r>
      <w:r>
        <w:rPr>
          <w:rFonts w:hint="eastAsia"/>
          <w:sz w:val="24"/>
          <w:szCs w:val="24"/>
        </w:rPr>
        <w:t>具备专业 HD CG/字幕和实时 HD 编辑系统、提供≥200 种字幕模板供现场字幕使用，支持字幕现场实时修改实时上屏功能。拍摄过程中支持移动终端屏幕如 PAD、iPhone 等信号的接入。可以自动控制预置好的素材；热点：每路输入≥8 个自由配置的交互式热点用于宏控制方便针对不同的老师课程进行设置。</w:t>
      </w:r>
    </w:p>
    <w:p>
      <w:pPr>
        <w:pStyle w:val="2"/>
        <w:adjustRightInd w:val="0"/>
        <w:snapToGrid w:val="0"/>
        <w:spacing w:line="440" w:lineRule="exact"/>
        <w:ind w:left="0" w:leftChars="0" w:firstLine="480"/>
        <w:rPr>
          <w:sz w:val="24"/>
          <w:szCs w:val="24"/>
        </w:rPr>
      </w:pPr>
      <w:r>
        <w:rPr>
          <w:sz w:val="24"/>
          <w:szCs w:val="24"/>
        </w:rPr>
        <w:t>8.</w:t>
      </w:r>
      <w:r>
        <w:rPr>
          <w:rFonts w:hint="eastAsia"/>
          <w:sz w:val="24"/>
          <w:szCs w:val="24"/>
        </w:rPr>
        <w:t>根据要求把成品视频转换成高清、标清、网络播放等 AVI、MPEG、MP4、MOV、FLV 格式等。特效包装师使用但不限于 AE、Photoshop、3DMax、Maya 等软件进行视频包装，每门课程的包装数量不低于课程总时长的 70%。</w:t>
      </w:r>
    </w:p>
    <w:p>
      <w:pPr>
        <w:spacing w:line="560" w:lineRule="exact"/>
        <w:ind w:firstLine="480" w:firstLineChars="200"/>
        <w:rPr>
          <w:sz w:val="24"/>
          <w:szCs w:val="24"/>
        </w:rPr>
      </w:pPr>
      <w:r>
        <w:rPr>
          <w:rFonts w:hint="eastAsia"/>
          <w:sz w:val="24"/>
          <w:szCs w:val="24"/>
        </w:rPr>
        <w:t>（十二）课程运行推广</w:t>
      </w:r>
    </w:p>
    <w:p>
      <w:pPr>
        <w:widowControl/>
        <w:tabs>
          <w:tab w:val="left" w:pos="4740"/>
        </w:tabs>
        <w:spacing w:line="560" w:lineRule="exact"/>
        <w:ind w:firstLine="480" w:firstLineChars="200"/>
        <w:jc w:val="left"/>
        <w:rPr>
          <w:sz w:val="24"/>
          <w:szCs w:val="24"/>
        </w:rPr>
      </w:pPr>
      <w:r>
        <w:rPr>
          <w:rFonts w:hint="eastAsia"/>
          <w:sz w:val="24"/>
          <w:szCs w:val="24"/>
        </w:rPr>
        <w:t>建成的课程不仅要满足学校教学使用需求，还要具有校内翻转课堂的运行以及在线开放课程运行的要求，具体满足以下要求：</w:t>
      </w:r>
    </w:p>
    <w:p>
      <w:pPr>
        <w:pStyle w:val="2"/>
        <w:ind w:left="0" w:leftChars="0" w:firstLine="480"/>
        <w:rPr>
          <w:sz w:val="24"/>
          <w:szCs w:val="24"/>
        </w:rPr>
      </w:pPr>
      <w:r>
        <w:rPr>
          <w:rFonts w:hint="eastAsia"/>
          <w:sz w:val="24"/>
          <w:szCs w:val="24"/>
        </w:rPr>
        <w:t>▲1</w:t>
      </w:r>
      <w:r>
        <w:rPr>
          <w:sz w:val="24"/>
          <w:szCs w:val="24"/>
        </w:rPr>
        <w:t>.</w:t>
      </w:r>
      <w:r>
        <w:rPr>
          <w:rFonts w:hint="eastAsia"/>
          <w:sz w:val="24"/>
          <w:szCs w:val="24"/>
        </w:rPr>
        <w:t>呈现方式要符合和满足移动学习和教师混合式教学的需求，课程能够完整上线运行，支持开展在线学习与课堂教学相结合、翻转课堂等多种方式的课堂教学模式。</w:t>
      </w:r>
    </w:p>
    <w:p>
      <w:pPr>
        <w:pStyle w:val="2"/>
        <w:ind w:left="0" w:leftChars="0" w:firstLine="480"/>
        <w:rPr>
          <w:sz w:val="24"/>
          <w:szCs w:val="24"/>
        </w:rPr>
      </w:pPr>
      <w:r>
        <w:rPr>
          <w:rFonts w:hint="eastAsia"/>
          <w:sz w:val="24"/>
          <w:szCs w:val="24"/>
        </w:rPr>
        <w:t>▲2</w:t>
      </w:r>
      <w:r>
        <w:rPr>
          <w:sz w:val="24"/>
          <w:szCs w:val="24"/>
        </w:rPr>
        <w:t>.</w:t>
      </w:r>
      <w:r>
        <w:rPr>
          <w:rFonts w:hint="eastAsia"/>
          <w:sz w:val="24"/>
          <w:szCs w:val="24"/>
        </w:rPr>
        <w:t>可在课程视频中随意插入随堂测验，方便学生即学即练。插入的测验题包含单选题、多选题、对错题或填空等形式。并能够对学生回答情况进行及时统计，以便于老师随时考查学生对教学内容的理解和掌握程度。（需提供功能截图，并加盖供应商公章）</w:t>
      </w:r>
    </w:p>
    <w:p>
      <w:pPr>
        <w:pStyle w:val="2"/>
        <w:ind w:left="0" w:leftChars="0" w:firstLine="480"/>
        <w:rPr>
          <w:sz w:val="24"/>
          <w:szCs w:val="24"/>
        </w:rPr>
      </w:pPr>
      <w:r>
        <w:rPr>
          <w:rFonts w:hint="eastAsia"/>
          <w:sz w:val="24"/>
          <w:szCs w:val="24"/>
        </w:rPr>
        <w:t>3</w:t>
      </w:r>
      <w:r>
        <w:rPr>
          <w:sz w:val="24"/>
          <w:szCs w:val="24"/>
        </w:rPr>
        <w:t>.</w:t>
      </w:r>
      <w:r>
        <w:rPr>
          <w:rFonts w:hint="eastAsia"/>
          <w:sz w:val="24"/>
          <w:szCs w:val="24"/>
        </w:rPr>
        <w:t>课程考核分为平时考核和课程考试两个部分。其中平时考核主要考查学生在线学习情况，能够对学生在线学习情况进行统计和分析；课程考试则是检测学生课程阶段性、整体学习情况的正式测验题，可以包括客观题和主观题，数量不限，并可进行成绩统计与分析。考试题目一经发布将不允许修改，发布前需确保考试内容核查无误。</w:t>
      </w:r>
    </w:p>
    <w:p>
      <w:pPr>
        <w:pStyle w:val="2"/>
        <w:ind w:left="0" w:leftChars="0" w:firstLine="480"/>
        <w:rPr>
          <w:sz w:val="24"/>
          <w:szCs w:val="24"/>
        </w:rPr>
      </w:pPr>
      <w:r>
        <w:rPr>
          <w:rFonts w:hint="eastAsia"/>
          <w:sz w:val="24"/>
          <w:szCs w:val="24"/>
        </w:rPr>
        <w:t>▲4</w:t>
      </w:r>
      <w:r>
        <w:rPr>
          <w:sz w:val="24"/>
          <w:szCs w:val="24"/>
        </w:rPr>
        <w:t>.</w:t>
      </w:r>
      <w:r>
        <w:rPr>
          <w:rFonts w:hint="eastAsia"/>
          <w:sz w:val="24"/>
          <w:szCs w:val="24"/>
        </w:rPr>
        <w:t>课程资源支持添加到校内教师教学空间：教师用户可将校内资源库内资源添加至慕课课程中（共享资料），用以建课使用。资源直接对接到教师建课中，或者直接可以课堂调取资源，教师建课时可直接使用资源库资源，使资源不再孤立。（需提供功能截图，并加盖供应商公章）</w:t>
      </w:r>
    </w:p>
    <w:p>
      <w:pPr>
        <w:pStyle w:val="2"/>
        <w:ind w:left="0" w:leftChars="0" w:firstLine="480"/>
        <w:rPr>
          <w:sz w:val="24"/>
          <w:szCs w:val="24"/>
        </w:rPr>
      </w:pPr>
      <w:r>
        <w:rPr>
          <w:rFonts w:hint="eastAsia"/>
          <w:sz w:val="24"/>
          <w:szCs w:val="24"/>
        </w:rPr>
        <w:t>▲5</w:t>
      </w:r>
      <w:r>
        <w:rPr>
          <w:sz w:val="24"/>
          <w:szCs w:val="24"/>
        </w:rPr>
        <w:t>.</w:t>
      </w:r>
      <w:r>
        <w:rPr>
          <w:rFonts w:hint="eastAsia"/>
          <w:sz w:val="24"/>
          <w:szCs w:val="24"/>
        </w:rPr>
        <w:t>教师可通过平台上传课程所需要的教材、参考书、参考文献、视频等资源。课程的内容建设，参考资料，课程介绍等任何位置都可以使用平台提供的海量图书。（需提供功能截图，并加盖供应商公章）</w:t>
      </w:r>
    </w:p>
    <w:p>
      <w:pPr>
        <w:pStyle w:val="2"/>
        <w:ind w:left="0" w:leftChars="0" w:firstLine="480"/>
        <w:rPr>
          <w:sz w:val="24"/>
          <w:szCs w:val="24"/>
        </w:rPr>
      </w:pPr>
      <w:r>
        <w:rPr>
          <w:rFonts w:hint="eastAsia"/>
          <w:sz w:val="24"/>
          <w:szCs w:val="24"/>
        </w:rPr>
        <w:t>▲6</w:t>
      </w:r>
      <w:r>
        <w:rPr>
          <w:sz w:val="24"/>
          <w:szCs w:val="24"/>
        </w:rPr>
        <w:t>.</w:t>
      </w:r>
      <w:r>
        <w:rPr>
          <w:rFonts w:hint="eastAsia"/>
          <w:sz w:val="24"/>
          <w:szCs w:val="24"/>
        </w:rPr>
        <w:t>建成课程的颗粒资源如图片、视频的资源支持一键式搜索插入，插入的资源可以直接点击在线播放查阅，也支持自己上传资料，支持无缝对接引用我校图书馆发现资源系统和联盟共享资源。（需提供功能截图，并加盖供应商公章）</w:t>
      </w:r>
    </w:p>
    <w:p>
      <w:pPr>
        <w:pStyle w:val="2"/>
        <w:ind w:left="0" w:leftChars="0" w:firstLine="480"/>
        <w:rPr>
          <w:sz w:val="24"/>
          <w:szCs w:val="24"/>
        </w:rPr>
      </w:pPr>
      <w:r>
        <w:rPr>
          <w:rFonts w:hint="eastAsia"/>
          <w:sz w:val="24"/>
          <w:szCs w:val="24"/>
        </w:rPr>
        <w:t>7</w:t>
      </w:r>
      <w:r>
        <w:rPr>
          <w:sz w:val="24"/>
          <w:szCs w:val="24"/>
        </w:rPr>
        <w:t>.</w:t>
      </w:r>
      <w:r>
        <w:rPr>
          <w:rFonts w:hint="eastAsia"/>
          <w:sz w:val="24"/>
          <w:szCs w:val="24"/>
        </w:rPr>
        <w:t>支持移动学习</w:t>
      </w:r>
    </w:p>
    <w:p>
      <w:pPr>
        <w:pStyle w:val="2"/>
        <w:ind w:left="0" w:leftChars="0" w:firstLine="480"/>
        <w:rPr>
          <w:sz w:val="24"/>
          <w:szCs w:val="24"/>
        </w:rPr>
      </w:pPr>
      <w:r>
        <w:rPr>
          <w:rFonts w:hint="eastAsia"/>
          <w:sz w:val="24"/>
          <w:szCs w:val="24"/>
        </w:rPr>
        <w:t>①课程建成后可支持移动学习，能够支持 iOS 和 Android 两大在主流操作系统，同时满足手机、平板电脑等智能移动终端使用。移动学习端需具备独立APP，能够实现互动、浏览、社交、学分管理等功能。</w:t>
      </w:r>
    </w:p>
    <w:p>
      <w:pPr>
        <w:pStyle w:val="2"/>
        <w:ind w:left="0" w:leftChars="0" w:firstLine="480"/>
        <w:rPr>
          <w:sz w:val="24"/>
          <w:szCs w:val="24"/>
        </w:rPr>
      </w:pPr>
      <w:r>
        <w:rPr>
          <w:rFonts w:hint="eastAsia"/>
          <w:sz w:val="24"/>
          <w:szCs w:val="24"/>
        </w:rPr>
        <w:t>▲②支持课堂教学活动中的无线投屏和课程互动：如课堂签到、投屏、抢答、选人、测验、投票、多屏互动、讨论、课堂报告等功能。（需提供功能截图，并加盖供应商公章）</w:t>
      </w:r>
    </w:p>
    <w:p>
      <w:pPr>
        <w:pStyle w:val="2"/>
        <w:ind w:left="0" w:leftChars="0" w:firstLine="480"/>
        <w:rPr>
          <w:sz w:val="24"/>
          <w:szCs w:val="24"/>
        </w:rPr>
      </w:pPr>
      <w:r>
        <w:rPr>
          <w:rFonts w:hint="eastAsia"/>
          <w:sz w:val="24"/>
          <w:szCs w:val="24"/>
        </w:rPr>
        <w:t>▲③具备在线学习管理模块，支持发布通知公告，并可以跟踪记录并统计基于每个学生的学习进度、课程登录次数、学习材料浏览和下载次数、作业和测试完成情况、在线时长、视频观看的遍数、参加答疑讨论的情况等多项学习考核指标。方便教师进行人员添加删减及教学内容增减调整。（需提供功能截图，并加盖供应商公章）</w:t>
      </w:r>
    </w:p>
    <w:p>
      <w:pPr>
        <w:pStyle w:val="2"/>
        <w:ind w:left="0" w:leftChars="0" w:firstLine="480"/>
        <w:rPr>
          <w:sz w:val="24"/>
          <w:szCs w:val="24"/>
        </w:rPr>
      </w:pPr>
      <w:r>
        <w:rPr>
          <w:rFonts w:hint="eastAsia"/>
          <w:sz w:val="24"/>
          <w:szCs w:val="24"/>
        </w:rPr>
        <w:t>④具备学生学习工具模块，包括书签、学生学习记录、网上搜索、学生作品展示等工具，方便学生了解自己当前的学习状况，及时对学习目标、学习计划做出调整，也方便教师掌握每个学生的学习情况。</w:t>
      </w:r>
    </w:p>
    <w:p>
      <w:pPr>
        <w:pStyle w:val="2"/>
        <w:ind w:left="0" w:leftChars="0" w:firstLine="480"/>
        <w:rPr>
          <w:sz w:val="24"/>
          <w:szCs w:val="24"/>
        </w:rPr>
      </w:pPr>
      <w:r>
        <w:rPr>
          <w:rFonts w:hint="eastAsia"/>
          <w:sz w:val="24"/>
          <w:szCs w:val="24"/>
        </w:rPr>
        <w:t>⑤具备网络学习答疑模块，使教师与学生能及时交流、答疑。</w:t>
      </w:r>
    </w:p>
    <w:p>
      <w:pPr>
        <w:pStyle w:val="2"/>
        <w:ind w:left="0" w:leftChars="0" w:firstLine="480"/>
        <w:rPr>
          <w:sz w:val="24"/>
          <w:szCs w:val="24"/>
        </w:rPr>
      </w:pPr>
      <w:r>
        <w:rPr>
          <w:rFonts w:hint="eastAsia"/>
          <w:sz w:val="24"/>
          <w:szCs w:val="24"/>
        </w:rPr>
        <w:t>8</w:t>
      </w:r>
      <w:r>
        <w:rPr>
          <w:sz w:val="24"/>
          <w:szCs w:val="24"/>
        </w:rPr>
        <w:t>.</w:t>
      </w:r>
      <w:r>
        <w:rPr>
          <w:rFonts w:hint="eastAsia"/>
          <w:sz w:val="24"/>
          <w:szCs w:val="24"/>
        </w:rPr>
        <w:t>拓展学习</w:t>
      </w:r>
    </w:p>
    <w:p>
      <w:pPr>
        <w:pStyle w:val="2"/>
        <w:ind w:left="0" w:leftChars="0" w:firstLine="480"/>
        <w:rPr>
          <w:sz w:val="24"/>
          <w:szCs w:val="24"/>
        </w:rPr>
      </w:pPr>
      <w:r>
        <w:rPr>
          <w:rFonts w:hint="eastAsia"/>
          <w:sz w:val="24"/>
          <w:szCs w:val="24"/>
        </w:rPr>
        <w:t>▲①能够提供丰富且具有完全知识产权的电子教材、文献、数据、视频等素材，教师在进行课程建设、备课、授课过程中随时可以搜索、引用、无缝插入。</w:t>
      </w:r>
    </w:p>
    <w:p>
      <w:pPr>
        <w:pStyle w:val="2"/>
        <w:ind w:left="0" w:leftChars="0" w:firstLine="480"/>
        <w:rPr>
          <w:sz w:val="24"/>
          <w:szCs w:val="24"/>
        </w:rPr>
      </w:pPr>
      <w:r>
        <w:rPr>
          <w:rFonts w:hint="eastAsia"/>
          <w:sz w:val="24"/>
          <w:szCs w:val="24"/>
        </w:rPr>
        <w:t>▲②具有知识点拓展阅读功能，可以根据一个关键词自动生成相关知识点的知识树，插入到课程单元中，并自动推送知识点相关的图书、期刊、论文等资料，以便于学生拓展学习。（需提供功能截图，并加盖供应商公章）</w:t>
      </w:r>
    </w:p>
    <w:p>
      <w:pPr>
        <w:pStyle w:val="2"/>
        <w:ind w:left="0" w:leftChars="0" w:firstLine="480"/>
        <w:rPr>
          <w:sz w:val="24"/>
          <w:szCs w:val="24"/>
        </w:rPr>
      </w:pPr>
      <w:r>
        <w:rPr>
          <w:rFonts w:hint="eastAsia"/>
          <w:sz w:val="24"/>
          <w:szCs w:val="24"/>
        </w:rPr>
        <w:t>▲③能够提供课程运行报告，包含课程教学运行报告，其中包括 mooc 课程开课情况数据：课程建设、课程运行、在线学习、课程成绩；学生调查数据：课程整体满意度、教学运行测评、网络情况；学生反馈及运行过程展示：学生评价及期望、课程运行过程展示、新闻报道；单节视频观看时长数据分析等。</w:t>
      </w:r>
    </w:p>
    <w:p>
      <w:pPr>
        <w:ind w:firstLine="480" w:firstLineChars="200"/>
        <w:rPr>
          <w:sz w:val="24"/>
          <w:szCs w:val="24"/>
        </w:rPr>
      </w:pPr>
      <w:r>
        <w:rPr>
          <w:rFonts w:hint="eastAsia"/>
          <w:sz w:val="24"/>
          <w:szCs w:val="24"/>
        </w:rPr>
        <w:t>▲9</w:t>
      </w:r>
      <w:r>
        <w:rPr>
          <w:sz w:val="24"/>
          <w:szCs w:val="24"/>
        </w:rPr>
        <w:t>.</w:t>
      </w:r>
      <w:r>
        <w:rPr>
          <w:rFonts w:hint="eastAsia"/>
          <w:sz w:val="24"/>
          <w:szCs w:val="24"/>
        </w:rPr>
        <w:t>供应商具有丰富的在线开放课程运行推广经验，在课程拍摄制作完成后，根据采购人课程建设运行需要，供应商应完善课程并上传到自有国家精品在线开放课程申报平台，在全国范围内进行推广，为采购人申报四川省省级、国家级精品在线开放课程提供数据保障（提供该平台为供应商自有平台的证明材料）。</w:t>
      </w:r>
    </w:p>
    <w:p>
      <w:pPr>
        <w:spacing w:line="560" w:lineRule="exact"/>
        <w:ind w:firstLine="480" w:firstLineChars="200"/>
        <w:rPr>
          <w:sz w:val="24"/>
          <w:szCs w:val="24"/>
        </w:rPr>
      </w:pPr>
      <w:r>
        <w:rPr>
          <w:rFonts w:hint="eastAsia" w:hAnsi="宋体" w:cs="宋体"/>
          <w:bCs/>
          <w:sz w:val="24"/>
          <w:szCs w:val="24"/>
        </w:rPr>
        <w:t>★</w:t>
      </w:r>
      <w:r>
        <w:rPr>
          <w:rFonts w:hint="eastAsia"/>
          <w:sz w:val="24"/>
          <w:szCs w:val="24"/>
        </w:rPr>
        <w:t>1</w:t>
      </w:r>
      <w:r>
        <w:rPr>
          <w:sz w:val="24"/>
          <w:szCs w:val="24"/>
        </w:rPr>
        <w:t>0.</w:t>
      </w:r>
      <w:r>
        <w:rPr>
          <w:rFonts w:hint="eastAsia"/>
          <w:sz w:val="24"/>
          <w:szCs w:val="24"/>
        </w:rPr>
        <w:t>课程建设完毕后，根据采购人课程建设运行需要，供应商为采购人申报四川省省级课程思政示范课程提供优质技术保障，必须确保拍摄作品按时、按质、按量提交。提供承诺函原件加盖公章，否则不得分。</w:t>
      </w:r>
    </w:p>
    <w:p>
      <w:pPr>
        <w:spacing w:line="560" w:lineRule="exact"/>
        <w:ind w:firstLine="480" w:firstLineChars="200"/>
        <w:rPr>
          <w:sz w:val="24"/>
          <w:szCs w:val="24"/>
        </w:rPr>
      </w:pPr>
      <w:r>
        <w:rPr>
          <w:rFonts w:hint="eastAsia" w:hAnsi="宋体" w:cs="宋体"/>
          <w:bCs/>
          <w:sz w:val="24"/>
          <w:szCs w:val="24"/>
        </w:rPr>
        <w:t>★</w:t>
      </w:r>
      <w:r>
        <w:rPr>
          <w:sz w:val="24"/>
          <w:szCs w:val="24"/>
        </w:rPr>
        <w:t>11.</w:t>
      </w:r>
      <w:r>
        <w:rPr>
          <w:rFonts w:hint="eastAsia"/>
          <w:sz w:val="24"/>
          <w:szCs w:val="24"/>
        </w:rPr>
        <w:t xml:space="preserve">后期服务要提供1年内为成片做免费的小范围修改、更新（不含补拍）等后续服务。提供承诺函原件加盖公章，否则不得分。 </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 （十三）版权要求</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1</w:t>
      </w:r>
      <w:r>
        <w:rPr>
          <w:rFonts w:hAnsi="宋体" w:cs="宋体"/>
          <w:bCs/>
          <w:sz w:val="24"/>
          <w:szCs w:val="24"/>
        </w:rPr>
        <w:t>.</w:t>
      </w:r>
      <w:r>
        <w:rPr>
          <w:rFonts w:hint="eastAsia" w:hAnsi="宋体" w:cs="宋体"/>
          <w:bCs/>
          <w:sz w:val="24"/>
          <w:szCs w:val="24"/>
        </w:rPr>
        <w:t>制作方在制作时需注意成片中所使用的图片、音视频等素材的版权问题。如出现版权纠纷，所有的法律责任和经济赔偿均由制作方承担。</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2</w:t>
      </w:r>
      <w:r>
        <w:rPr>
          <w:rFonts w:hAnsi="宋体" w:cs="宋体"/>
          <w:bCs/>
          <w:sz w:val="24"/>
          <w:szCs w:val="24"/>
        </w:rPr>
        <w:t>.</w:t>
      </w:r>
      <w:r>
        <w:rPr>
          <w:rFonts w:hint="eastAsia" w:hAnsi="宋体" w:cs="宋体"/>
          <w:bCs/>
          <w:sz w:val="24"/>
          <w:szCs w:val="24"/>
        </w:rPr>
        <w:t>制作方对授课案例中的当事人肖像权、隐私等采取适当技术手段处理。如出现侵权纠纷，所有的法律责任和经济赔偿均由制作方承担。</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3</w:t>
      </w:r>
      <w:r>
        <w:rPr>
          <w:rFonts w:hAnsi="宋体" w:cs="宋体"/>
          <w:bCs/>
          <w:sz w:val="24"/>
          <w:szCs w:val="24"/>
        </w:rPr>
        <w:t>.</w:t>
      </w:r>
      <w:r>
        <w:rPr>
          <w:rFonts w:hint="eastAsia" w:hAnsi="宋体" w:cs="宋体"/>
          <w:bCs/>
          <w:sz w:val="24"/>
          <w:szCs w:val="24"/>
        </w:rPr>
        <w:t>所有制作完成的课程成品，其版权归四川铁道职业学院所有，未经允许，任何单位和个人不得进行商业传播。</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4</w:t>
      </w:r>
      <w:r>
        <w:rPr>
          <w:rFonts w:hAnsi="宋体" w:cs="宋体"/>
          <w:bCs/>
          <w:sz w:val="24"/>
          <w:szCs w:val="24"/>
        </w:rPr>
        <w:t>.</w:t>
      </w:r>
      <w:r>
        <w:rPr>
          <w:rFonts w:hint="eastAsia" w:hAnsi="宋体" w:cs="宋体"/>
          <w:bCs/>
          <w:sz w:val="24"/>
          <w:szCs w:val="24"/>
        </w:rPr>
        <w:t>所有资料提供出处并在片尾声明。</w:t>
      </w:r>
    </w:p>
    <w:p>
      <w:pPr>
        <w:adjustRightInd w:val="0"/>
        <w:snapToGrid w:val="0"/>
        <w:spacing w:line="440" w:lineRule="exact"/>
        <w:ind w:left="485"/>
        <w:rPr>
          <w:rFonts w:hAnsi="宋体" w:cs="宋体"/>
          <w:bCs/>
          <w:sz w:val="24"/>
          <w:szCs w:val="24"/>
        </w:rPr>
      </w:pPr>
      <w:r>
        <w:rPr>
          <w:rFonts w:hint="eastAsia" w:hAnsi="宋体" w:cs="宋体"/>
          <w:bCs/>
          <w:sz w:val="24"/>
          <w:szCs w:val="24"/>
        </w:rPr>
        <w:t>（十四）其他要求</w:t>
      </w:r>
    </w:p>
    <w:p>
      <w:pPr>
        <w:adjustRightInd w:val="0"/>
        <w:snapToGrid w:val="0"/>
        <w:spacing w:line="440" w:lineRule="exact"/>
        <w:ind w:firstLine="480" w:firstLineChars="200"/>
        <w:rPr>
          <w:rFonts w:hAnsi="宋体" w:cs="宋体"/>
          <w:bCs/>
          <w:sz w:val="24"/>
          <w:szCs w:val="24"/>
        </w:rPr>
      </w:pPr>
      <w:r>
        <w:rPr>
          <w:rFonts w:hAnsi="宋体" w:cs="宋体"/>
          <w:bCs/>
          <w:sz w:val="24"/>
          <w:szCs w:val="24"/>
        </w:rPr>
        <w:t>1.</w:t>
      </w:r>
      <w:r>
        <w:rPr>
          <w:rFonts w:hint="eastAsia" w:hAnsi="宋体" w:cs="宋体"/>
          <w:bCs/>
          <w:sz w:val="24"/>
          <w:szCs w:val="24"/>
        </w:rPr>
        <w:t>投标人须展示课程制作的工作进度表范例，供招标人检查督促时间进度和工作内容及质量。</w:t>
      </w:r>
    </w:p>
    <w:p>
      <w:pPr>
        <w:adjustRightInd w:val="0"/>
        <w:snapToGrid w:val="0"/>
        <w:spacing w:line="440" w:lineRule="exact"/>
        <w:ind w:firstLine="480" w:firstLineChars="200"/>
        <w:rPr>
          <w:rFonts w:hAnsi="宋体" w:cs="宋体"/>
          <w:bCs/>
          <w:sz w:val="24"/>
          <w:szCs w:val="24"/>
        </w:rPr>
      </w:pPr>
      <w:r>
        <w:rPr>
          <w:rFonts w:hAnsi="宋体" w:cs="宋体"/>
          <w:bCs/>
          <w:sz w:val="24"/>
          <w:szCs w:val="24"/>
        </w:rPr>
        <w:t>2.</w:t>
      </w:r>
      <w:r>
        <w:rPr>
          <w:rFonts w:hint="eastAsia" w:hAnsi="宋体" w:cs="宋体"/>
          <w:bCs/>
          <w:sz w:val="24"/>
          <w:szCs w:val="24"/>
        </w:rPr>
        <w:t>成交后，课程制作方 10 日内须要召开项目启动会，进行课程服务的全面对接，保证安排课程运营、服务人员一对一服务于课程团队。</w:t>
      </w:r>
    </w:p>
    <w:p>
      <w:pPr>
        <w:spacing w:line="440" w:lineRule="exact"/>
        <w:ind w:firstLine="482" w:firstLineChars="200"/>
        <w:rPr>
          <w:rFonts w:hAnsi="宋体" w:cs="宋体"/>
          <w:b/>
          <w:bCs/>
          <w:sz w:val="24"/>
          <w:szCs w:val="24"/>
        </w:rPr>
      </w:pPr>
      <w:r>
        <w:rPr>
          <w:rFonts w:hint="eastAsia" w:hAnsi="宋体" w:cs="宋体"/>
          <w:b/>
          <w:bCs/>
          <w:sz w:val="24"/>
          <w:szCs w:val="24"/>
        </w:rPr>
        <w:t>三、商务要求</w:t>
      </w:r>
    </w:p>
    <w:p>
      <w:pPr>
        <w:adjustRightInd w:val="0"/>
        <w:snapToGrid w:val="0"/>
        <w:spacing w:line="440" w:lineRule="exact"/>
        <w:ind w:firstLine="480" w:firstLineChars="200"/>
        <w:rPr>
          <w:rFonts w:hAnsi="宋体" w:cs="宋体"/>
          <w:bCs/>
          <w:sz w:val="24"/>
          <w:szCs w:val="24"/>
        </w:rPr>
      </w:pPr>
      <w:r>
        <w:rPr>
          <w:rFonts w:hint="eastAsia" w:hAnsi="宋体" w:cs="宋体"/>
          <w:bCs/>
          <w:sz w:val="24"/>
          <w:szCs w:val="24"/>
        </w:rPr>
        <w:t>1</w:t>
      </w:r>
      <w:r>
        <w:rPr>
          <w:rFonts w:hAnsi="宋体" w:cs="宋体"/>
          <w:bCs/>
          <w:sz w:val="24"/>
          <w:szCs w:val="24"/>
        </w:rPr>
        <w:t>.</w:t>
      </w:r>
      <w:r>
        <w:rPr>
          <w:rFonts w:hint="eastAsia" w:hAnsi="宋体" w:cs="宋体"/>
          <w:bCs/>
          <w:sz w:val="24"/>
          <w:szCs w:val="24"/>
        </w:rPr>
        <w:t>课程验收。课程制作完成后，采购方将对最终成品进行验收，测试验收时间为2个工作日。</w:t>
      </w:r>
    </w:p>
    <w:p>
      <w:pPr>
        <w:spacing w:line="440" w:lineRule="exact"/>
        <w:ind w:firstLine="480" w:firstLineChars="200"/>
        <w:rPr>
          <w:rFonts w:hAnsi="宋体" w:cs="宋体"/>
          <w:bCs/>
          <w:sz w:val="24"/>
          <w:szCs w:val="24"/>
        </w:rPr>
      </w:pPr>
      <w:r>
        <w:rPr>
          <w:rFonts w:hAnsi="宋体" w:cs="宋体"/>
          <w:bCs/>
          <w:sz w:val="24"/>
          <w:szCs w:val="24"/>
        </w:rPr>
        <w:t>2</w:t>
      </w:r>
      <w:r>
        <w:rPr>
          <w:rFonts w:hint="eastAsia" w:hAnsi="宋体" w:cs="宋体"/>
          <w:bCs/>
          <w:sz w:val="24"/>
          <w:szCs w:val="24"/>
        </w:rPr>
        <w:t>.服务期限：在合同签订后 1.5 个月内完成课程视频拍摄且验收合格、提交成品，质保期自验收合格之日起生效，时间为</w:t>
      </w:r>
      <w:r>
        <w:rPr>
          <w:rFonts w:hint="eastAsia" w:hAnsi="宋体" w:cs="宋体"/>
          <w:bCs/>
          <w:sz w:val="24"/>
          <w:szCs w:val="24"/>
          <w:lang w:val="en-US" w:eastAsia="zh-CN"/>
        </w:rPr>
        <w:t>1</w:t>
      </w:r>
      <w:r>
        <w:rPr>
          <w:rFonts w:hint="eastAsia" w:hAnsi="宋体" w:cs="宋体"/>
          <w:bCs/>
          <w:sz w:val="24"/>
          <w:szCs w:val="24"/>
        </w:rPr>
        <w:t>年。</w:t>
      </w:r>
      <w:bookmarkStart w:id="98" w:name="_GoBack"/>
      <w:bookmarkEnd w:id="98"/>
    </w:p>
    <w:p>
      <w:pPr>
        <w:adjustRightInd w:val="0"/>
        <w:snapToGrid w:val="0"/>
        <w:spacing w:line="440" w:lineRule="exact"/>
        <w:ind w:left="485"/>
        <w:rPr>
          <w:rFonts w:hAnsi="宋体" w:cs="宋体"/>
          <w:bCs/>
          <w:sz w:val="24"/>
          <w:szCs w:val="24"/>
        </w:rPr>
      </w:pPr>
      <w:r>
        <w:rPr>
          <w:rFonts w:hAnsi="宋体" w:cs="宋体"/>
          <w:bCs/>
          <w:sz w:val="24"/>
          <w:szCs w:val="24"/>
        </w:rPr>
        <w:t>3</w:t>
      </w:r>
      <w:r>
        <w:rPr>
          <w:rFonts w:hint="eastAsia" w:hAnsi="宋体" w:cs="宋体"/>
          <w:bCs/>
          <w:sz w:val="24"/>
          <w:szCs w:val="24"/>
        </w:rPr>
        <w:t>.服务地点：采购人指定地点。</w:t>
      </w:r>
    </w:p>
    <w:p>
      <w:pPr>
        <w:adjustRightInd w:val="0"/>
        <w:snapToGrid w:val="0"/>
        <w:spacing w:line="440" w:lineRule="exact"/>
        <w:ind w:firstLine="480" w:firstLineChars="200"/>
        <w:rPr>
          <w:rFonts w:hAnsi="宋体" w:cs="宋体"/>
          <w:bCs/>
          <w:sz w:val="24"/>
          <w:szCs w:val="24"/>
        </w:rPr>
      </w:pPr>
      <w:r>
        <w:rPr>
          <w:rFonts w:hAnsi="宋体" w:cs="宋体"/>
          <w:bCs/>
          <w:sz w:val="24"/>
          <w:szCs w:val="24"/>
        </w:rPr>
        <w:t>4</w:t>
      </w:r>
      <w:r>
        <w:rPr>
          <w:rFonts w:hint="eastAsia" w:hAnsi="宋体" w:cs="宋体"/>
          <w:bCs/>
          <w:sz w:val="24"/>
          <w:szCs w:val="24"/>
        </w:rPr>
        <w:t>.付款方式：合同签订后 10 个工作日内，支付合同金额 60%作为预付款；作品按时提交后，支付合同总金额的 40%。</w:t>
      </w:r>
    </w:p>
    <w:p>
      <w:pPr>
        <w:adjustRightInd w:val="0"/>
        <w:snapToGrid w:val="0"/>
        <w:spacing w:line="440" w:lineRule="exact"/>
        <w:ind w:left="485"/>
        <w:rPr>
          <w:rFonts w:hAnsi="宋体" w:cs="宋体"/>
          <w:b/>
          <w:bCs/>
          <w:sz w:val="24"/>
          <w:szCs w:val="24"/>
        </w:rPr>
      </w:pPr>
      <w:r>
        <w:rPr>
          <w:rFonts w:hint="eastAsia" w:hAnsi="宋体" w:cs="宋体"/>
          <w:b/>
          <w:bCs/>
          <w:sz w:val="24"/>
          <w:szCs w:val="24"/>
        </w:rPr>
        <w:t>注意：1、“▲”条款为重要技术参数要求，若有负偏离，只作扣分处理；“★”条款为实质性要求，不允许负偏离，否则其响应文件作无效处理。</w:t>
      </w:r>
    </w:p>
    <w:p>
      <w:pPr>
        <w:pStyle w:val="5"/>
        <w:adjustRightInd w:val="0"/>
        <w:snapToGrid w:val="0"/>
        <w:spacing w:before="0" w:after="0" w:line="440" w:lineRule="exact"/>
        <w:ind w:firstLine="723" w:firstLineChars="300"/>
        <w:rPr>
          <w:rFonts w:ascii="宋体" w:hAnsi="宋体" w:eastAsia="宋体" w:cs="宋体"/>
          <w:bCs/>
          <w:sz w:val="24"/>
          <w:szCs w:val="24"/>
        </w:rPr>
      </w:pPr>
      <w:r>
        <w:rPr>
          <w:rFonts w:hint="eastAsia" w:ascii="宋体" w:hAnsi="宋体" w:eastAsia="宋体" w:cs="宋体"/>
          <w:bCs/>
          <w:sz w:val="24"/>
          <w:szCs w:val="24"/>
        </w:rPr>
        <w:t>2、本次项目不接受联合体投标；本次项目不得转包、分包。</w:t>
      </w:r>
    </w:p>
    <w:p>
      <w:pPr>
        <w:rPr>
          <w:rFonts w:hAnsi="宋体" w:cs="宋体"/>
          <w:b/>
          <w:bCs/>
          <w:sz w:val="24"/>
          <w:szCs w:val="24"/>
        </w:rPr>
      </w:pPr>
      <w:r>
        <w:rPr>
          <w:rFonts w:hint="eastAsia" w:hAnsi="宋体" w:cs="宋体"/>
          <w:b/>
          <w:bCs/>
          <w:sz w:val="24"/>
          <w:szCs w:val="24"/>
        </w:rPr>
        <w:br w:type="page"/>
      </w:r>
    </w:p>
    <w:p>
      <w:pPr>
        <w:adjustRightInd w:val="0"/>
        <w:snapToGrid w:val="0"/>
        <w:spacing w:line="360" w:lineRule="auto"/>
        <w:ind w:firstLine="710" w:firstLineChars="188"/>
        <w:jc w:val="center"/>
        <w:rPr>
          <w:rFonts w:hAnsi="宋体"/>
          <w:b/>
          <w:spacing w:val="8"/>
          <w:sz w:val="36"/>
          <w:szCs w:val="36"/>
        </w:rPr>
      </w:pPr>
    </w:p>
    <w:p>
      <w:pPr>
        <w:adjustRightInd w:val="0"/>
        <w:snapToGrid w:val="0"/>
        <w:spacing w:line="360" w:lineRule="auto"/>
        <w:ind w:firstLine="710" w:firstLineChars="188"/>
        <w:jc w:val="center"/>
        <w:rPr>
          <w:rFonts w:hAnsi="宋体"/>
          <w:b/>
          <w:spacing w:val="8"/>
          <w:sz w:val="36"/>
          <w:szCs w:val="36"/>
        </w:rPr>
      </w:pPr>
      <w:r>
        <w:rPr>
          <w:rFonts w:hint="eastAsia" w:hAnsi="宋体"/>
          <w:b/>
          <w:spacing w:val="8"/>
          <w:sz w:val="36"/>
          <w:szCs w:val="36"/>
        </w:rPr>
        <w:t>第五章 评标办法</w:t>
      </w:r>
    </w:p>
    <w:p>
      <w:pPr>
        <w:adjustRightInd w:val="0"/>
        <w:snapToGrid w:val="0"/>
        <w:spacing w:line="360" w:lineRule="auto"/>
        <w:ind w:firstLine="480" w:firstLineChars="200"/>
        <w:jc w:val="left"/>
        <w:rPr>
          <w:rFonts w:hAnsi="宋体"/>
          <w:color w:val="000000"/>
          <w:sz w:val="24"/>
        </w:rPr>
      </w:pP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分。各投标人各方面的所有评价指标得分之和为该投标人的综合得分。</w:t>
      </w:r>
    </w:p>
    <w:p>
      <w:pPr>
        <w:adjustRightInd w:val="0"/>
        <w:snapToGrid w:val="0"/>
        <w:spacing w:line="440" w:lineRule="exact"/>
        <w:ind w:firstLine="480" w:firstLineChars="200"/>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20"/>
        <w:tblpPr w:leftFromText="180" w:rightFromText="180" w:vertAnchor="text" w:horzAnchor="page" w:tblpX="1086" w:tblpY="568"/>
        <w:tblOverlap w:val="never"/>
        <w:tblW w:w="9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7"/>
        <w:gridCol w:w="1883"/>
        <w:gridCol w:w="7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序号</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评分项目及分值</w:t>
            </w:r>
          </w:p>
        </w:tc>
        <w:tc>
          <w:tcPr>
            <w:tcW w:w="7089" w:type="dxa"/>
            <w:vAlign w:val="center"/>
          </w:tcPr>
          <w:p>
            <w:pPr>
              <w:pStyle w:val="78"/>
              <w:adjustRightInd w:val="0"/>
              <w:snapToGrid w:val="0"/>
              <w:jc w:val="center"/>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1</w:t>
            </w: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报价</w:t>
            </w:r>
          </w:p>
          <w:p>
            <w:pPr>
              <w:pStyle w:val="78"/>
              <w:adjustRightInd w:val="0"/>
              <w:snapToGrid w:val="0"/>
              <w:jc w:val="center"/>
              <w:rPr>
                <w:rFonts w:ascii="宋体" w:hAnsi="宋体" w:cs="宋体"/>
                <w:sz w:val="24"/>
              </w:rPr>
            </w:pPr>
            <w:r>
              <w:rPr>
                <w:rFonts w:hint="eastAsia" w:ascii="宋体" w:hAnsi="宋体" w:cs="宋体"/>
                <w:sz w:val="24"/>
              </w:rPr>
              <w:t>（共</w:t>
            </w:r>
            <w:r>
              <w:rPr>
                <w:rFonts w:ascii="宋体" w:hAnsi="宋体" w:cs="宋体"/>
                <w:sz w:val="24"/>
              </w:rPr>
              <w:t>10</w:t>
            </w:r>
            <w:r>
              <w:rPr>
                <w:rFonts w:hint="eastAsia" w:ascii="宋体" w:hAnsi="宋体" w:cs="宋体"/>
                <w:sz w:val="24"/>
              </w:rPr>
              <w:t>分）</w:t>
            </w:r>
          </w:p>
        </w:tc>
        <w:tc>
          <w:tcPr>
            <w:tcW w:w="7089" w:type="dxa"/>
          </w:tcPr>
          <w:p>
            <w:pPr>
              <w:pStyle w:val="78"/>
              <w:tabs>
                <w:tab w:val="left" w:pos="350"/>
              </w:tabs>
              <w:spacing w:before="6" w:line="440" w:lineRule="exact"/>
              <w:ind w:firstLine="480"/>
              <w:rPr>
                <w:rFonts w:ascii="宋体" w:hAnsi="宋体" w:cs="宋体"/>
                <w:sz w:val="24"/>
              </w:rPr>
            </w:pPr>
            <w:r>
              <w:rPr>
                <w:rFonts w:hint="eastAsia" w:ascii="宋体" w:hAnsi="宋体" w:cs="宋体"/>
                <w:sz w:val="24"/>
              </w:rPr>
              <w:t>1.满足招标文件要求且投标价格最低的投标报价为评标基准价，其价格分为满分。其他投标人的价格分统一按照下列公式计算：投标报价得分=(评标基准价／投标报价)×100</w:t>
            </w:r>
          </w:p>
          <w:p>
            <w:pPr>
              <w:pStyle w:val="78"/>
              <w:tabs>
                <w:tab w:val="left" w:pos="350"/>
              </w:tabs>
              <w:spacing w:before="6" w:line="440" w:lineRule="exact"/>
              <w:ind w:firstLine="480"/>
              <w:rPr>
                <w:rFonts w:ascii="宋体" w:hAnsi="宋体" w:cs="宋体"/>
                <w:sz w:val="24"/>
              </w:rPr>
            </w:pPr>
            <w:r>
              <w:rPr>
                <w:rFonts w:hint="eastAsia" w:ascii="宋体" w:hAnsi="宋体" w:cs="宋体"/>
                <w:sz w:val="24"/>
              </w:rPr>
              <w:t>2.报价最终得分=投标报价得分×权重。评分的取值按四舍五入法，保留小数点后两位。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2</w:t>
            </w:r>
          </w:p>
        </w:tc>
        <w:tc>
          <w:tcPr>
            <w:tcW w:w="1883" w:type="dxa"/>
            <w:vAlign w:val="center"/>
          </w:tcPr>
          <w:p>
            <w:pPr>
              <w:pStyle w:val="78"/>
              <w:adjustRightInd w:val="0"/>
              <w:snapToGrid w:val="0"/>
              <w:jc w:val="center"/>
              <w:rPr>
                <w:rFonts w:ascii="宋体" w:hAnsi="宋体" w:cs="宋体"/>
                <w:sz w:val="28"/>
                <w:szCs w:val="28"/>
              </w:rPr>
            </w:pPr>
            <w:r>
              <w:rPr>
                <w:rFonts w:hint="eastAsia" w:ascii="宋体" w:hAnsi="Calibri"/>
                <w:kern w:val="0"/>
                <w:sz w:val="24"/>
              </w:rPr>
              <w:t>业绩（共</w:t>
            </w:r>
            <w:r>
              <w:rPr>
                <w:rFonts w:ascii="宋体" w:hAnsi="Calibri"/>
                <w:kern w:val="0"/>
                <w:sz w:val="24"/>
              </w:rPr>
              <w:t>10</w:t>
            </w:r>
            <w:r>
              <w:rPr>
                <w:rFonts w:hint="eastAsia" w:ascii="宋体" w:hAnsi="Calibri"/>
                <w:kern w:val="0"/>
                <w:sz w:val="24"/>
              </w:rPr>
              <w:t>分）</w:t>
            </w:r>
          </w:p>
        </w:tc>
        <w:tc>
          <w:tcPr>
            <w:tcW w:w="7089" w:type="dxa"/>
          </w:tcPr>
          <w:p>
            <w:pPr>
              <w:tabs>
                <w:tab w:val="left" w:pos="312"/>
              </w:tabs>
              <w:adjustRightInd w:val="0"/>
              <w:spacing w:line="440" w:lineRule="exact"/>
              <w:ind w:firstLine="480" w:firstLineChars="200"/>
              <w:textAlignment w:val="baseline"/>
              <w:rPr>
                <w:sz w:val="24"/>
                <w:szCs w:val="24"/>
              </w:rPr>
            </w:pPr>
            <w:r>
              <w:rPr>
                <w:rFonts w:hint="eastAsia"/>
                <w:sz w:val="24"/>
                <w:szCs w:val="24"/>
              </w:rPr>
              <w:t>1</w:t>
            </w:r>
            <w:r>
              <w:rPr>
                <w:sz w:val="24"/>
                <w:szCs w:val="24"/>
              </w:rPr>
              <w:t>.</w:t>
            </w:r>
            <w:r>
              <w:rPr>
                <w:rFonts w:hint="eastAsia"/>
                <w:sz w:val="24"/>
                <w:szCs w:val="24"/>
              </w:rPr>
              <w:t>供应商201</w:t>
            </w:r>
            <w:r>
              <w:rPr>
                <w:sz w:val="24"/>
                <w:szCs w:val="24"/>
              </w:rPr>
              <w:t>8</w:t>
            </w:r>
            <w:r>
              <w:rPr>
                <w:rFonts w:hint="eastAsia"/>
                <w:sz w:val="24"/>
                <w:szCs w:val="24"/>
              </w:rPr>
              <w:t>年1月1日（含）以来的类似项目履约经验，每提供一份证明材料得1分，最多</w:t>
            </w:r>
            <w:r>
              <w:rPr>
                <w:sz w:val="24"/>
                <w:szCs w:val="24"/>
              </w:rPr>
              <w:t>5</w:t>
            </w:r>
            <w:r>
              <w:rPr>
                <w:rFonts w:hint="eastAsia"/>
                <w:sz w:val="24"/>
                <w:szCs w:val="24"/>
              </w:rPr>
              <w:t>分。（需提供合同复印件或中标（成交）通知书复印件并加盖供应商公章）</w:t>
            </w:r>
          </w:p>
          <w:p>
            <w:pPr>
              <w:spacing w:line="440" w:lineRule="exact"/>
              <w:ind w:firstLine="480" w:firstLineChars="200"/>
              <w:rPr>
                <w:rFonts w:hAnsi="宋体" w:cs="宋体"/>
                <w:sz w:val="28"/>
                <w:szCs w:val="28"/>
              </w:rPr>
            </w:pPr>
            <w:r>
              <w:rPr>
                <w:rFonts w:hint="eastAsia"/>
                <w:sz w:val="24"/>
                <w:szCs w:val="24"/>
              </w:rPr>
              <w:t>2.</w:t>
            </w:r>
            <w:r>
              <w:rPr>
                <w:sz w:val="24"/>
                <w:szCs w:val="24"/>
              </w:rPr>
              <w:t>供应商参与打造的省级课程思政示范课或示范中心，每提供一个得1.5分，最多得3分；供应商参与打造的国家级课程思政示范课或示范中心，每提供一个得2.5分。满分5分。（需提供课程页面截图、课程网址链接或示范中心网址链接，并加盖供应商公章，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7" w:type="dxa"/>
            <w:vMerge w:val="restart"/>
            <w:vAlign w:val="center"/>
          </w:tcPr>
          <w:p>
            <w:pPr>
              <w:pStyle w:val="78"/>
              <w:adjustRightInd w:val="0"/>
              <w:snapToGrid w:val="0"/>
              <w:jc w:val="center"/>
              <w:rPr>
                <w:rFonts w:ascii="宋体" w:hAnsi="宋体" w:cs="宋体"/>
                <w:sz w:val="24"/>
              </w:rPr>
            </w:pPr>
            <w:r>
              <w:rPr>
                <w:rFonts w:ascii="宋体" w:hAnsi="宋体" w:cs="宋体"/>
                <w:sz w:val="24"/>
              </w:rPr>
              <w:t>3</w:t>
            </w:r>
          </w:p>
        </w:tc>
        <w:tc>
          <w:tcPr>
            <w:tcW w:w="1883" w:type="dxa"/>
            <w:vAlign w:val="center"/>
          </w:tcPr>
          <w:p>
            <w:pPr>
              <w:pStyle w:val="78"/>
              <w:adjustRightInd w:val="0"/>
              <w:snapToGrid w:val="0"/>
              <w:jc w:val="center"/>
              <w:rPr>
                <w:rFonts w:ascii="宋体" w:hAnsi="宋体" w:cs="宋体"/>
                <w:sz w:val="24"/>
                <w:highlight w:val="yellow"/>
              </w:rPr>
            </w:pPr>
            <w:r>
              <w:rPr>
                <w:rFonts w:hint="eastAsia" w:ascii="宋体" w:hAnsi="Calibri"/>
                <w:kern w:val="0"/>
                <w:sz w:val="24"/>
              </w:rPr>
              <w:t>技术及服务指标（</w:t>
            </w:r>
            <w:r>
              <w:rPr>
                <w:rFonts w:ascii="宋体" w:hAnsi="Calibri"/>
                <w:kern w:val="0"/>
                <w:sz w:val="24"/>
              </w:rPr>
              <w:t>43</w:t>
            </w:r>
            <w:r>
              <w:rPr>
                <w:rFonts w:hint="eastAsia" w:ascii="宋体" w:hAnsi="Calibri"/>
                <w:kern w:val="0"/>
                <w:sz w:val="24"/>
              </w:rPr>
              <w:t>分）</w:t>
            </w:r>
          </w:p>
        </w:tc>
        <w:tc>
          <w:tcPr>
            <w:tcW w:w="7089" w:type="dxa"/>
          </w:tcPr>
          <w:p>
            <w:pPr>
              <w:widowControl/>
              <w:spacing w:line="400" w:lineRule="exact"/>
              <w:ind w:firstLine="480" w:firstLineChars="200"/>
              <w:rPr>
                <w:sz w:val="24"/>
                <w:szCs w:val="24"/>
              </w:rPr>
            </w:pPr>
            <w:r>
              <w:rPr>
                <w:rFonts w:hint="eastAsia"/>
                <w:sz w:val="24"/>
                <w:szCs w:val="24"/>
              </w:rPr>
              <w:t>1.完全满足技术、服务内容得</w:t>
            </w:r>
            <w:r>
              <w:rPr>
                <w:sz w:val="24"/>
                <w:szCs w:val="24"/>
              </w:rPr>
              <w:t>39</w:t>
            </w:r>
            <w:r>
              <w:rPr>
                <w:rFonts w:hint="eastAsia"/>
                <w:sz w:val="24"/>
                <w:szCs w:val="24"/>
              </w:rPr>
              <w:t>分：“▲”条款每个不满足者扣</w:t>
            </w:r>
            <w:r>
              <w:rPr>
                <w:sz w:val="24"/>
                <w:szCs w:val="24"/>
              </w:rPr>
              <w:t>2</w:t>
            </w:r>
            <w:r>
              <w:rPr>
                <w:rFonts w:hint="eastAsia"/>
                <w:sz w:val="24"/>
                <w:szCs w:val="24"/>
              </w:rPr>
              <w:t>分，直至本项分值扣完为止；每有一项非“▲”条款每个不满足者扣1分，直至本项分值扣完为止。（上述条款中有要求提供功能截图或证明材料的，需提供功能截图或证明材料并加盖供应商公章，否则作负偏离处理）</w:t>
            </w:r>
          </w:p>
          <w:p>
            <w:pPr>
              <w:pStyle w:val="78"/>
              <w:tabs>
                <w:tab w:val="left" w:pos="350"/>
              </w:tabs>
              <w:spacing w:before="6" w:line="44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.投标人承诺能够满足“（十四）其他要求”得</w:t>
            </w:r>
            <w:r>
              <w:rPr>
                <w:rFonts w:ascii="宋体" w:hAnsi="宋体" w:cs="宋体"/>
                <w:sz w:val="24"/>
              </w:rPr>
              <w:t>4</w:t>
            </w:r>
            <w:r>
              <w:rPr>
                <w:rFonts w:hint="eastAsia" w:ascii="宋体" w:hAnsi="宋体" w:cs="宋体"/>
                <w:sz w:val="24"/>
              </w:rPr>
              <w:t>分,无承诺不得分。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Merge w:val="continue"/>
            <w:vAlign w:val="center"/>
          </w:tcPr>
          <w:p>
            <w:pPr>
              <w:pStyle w:val="78"/>
              <w:adjustRightInd w:val="0"/>
              <w:snapToGrid w:val="0"/>
              <w:jc w:val="center"/>
              <w:rPr>
                <w:rFonts w:ascii="宋体" w:hAnsi="宋体" w:cs="宋体"/>
                <w:sz w:val="24"/>
              </w:rPr>
            </w:pPr>
          </w:p>
        </w:tc>
        <w:tc>
          <w:tcPr>
            <w:tcW w:w="1883" w:type="dxa"/>
            <w:vAlign w:val="center"/>
          </w:tcPr>
          <w:p>
            <w:pPr>
              <w:pStyle w:val="78"/>
              <w:adjustRightInd w:val="0"/>
              <w:snapToGrid w:val="0"/>
              <w:jc w:val="center"/>
              <w:rPr>
                <w:rFonts w:ascii="宋体" w:hAnsi="宋体" w:cs="宋体"/>
                <w:sz w:val="24"/>
              </w:rPr>
            </w:pPr>
            <w:r>
              <w:rPr>
                <w:rFonts w:hint="eastAsia" w:ascii="宋体" w:hAnsi="宋体" w:cs="宋体"/>
                <w:sz w:val="24"/>
              </w:rPr>
              <w:t>实施方案及保障措施（</w:t>
            </w:r>
            <w:r>
              <w:rPr>
                <w:rFonts w:ascii="宋体" w:hAnsi="宋体" w:cs="宋体"/>
                <w:sz w:val="24"/>
              </w:rPr>
              <w:t>22</w:t>
            </w:r>
            <w:r>
              <w:rPr>
                <w:rFonts w:hint="eastAsia" w:ascii="宋体" w:hAnsi="宋体" w:cs="宋体"/>
                <w:sz w:val="24"/>
              </w:rPr>
              <w:t>分）</w:t>
            </w:r>
          </w:p>
        </w:tc>
        <w:tc>
          <w:tcPr>
            <w:tcW w:w="7089" w:type="dxa"/>
          </w:tcPr>
          <w:p>
            <w:pPr>
              <w:spacing w:line="480" w:lineRule="exact"/>
              <w:ind w:firstLine="480" w:firstLineChars="200"/>
              <w:rPr>
                <w:rFonts w:hAnsi="宋体" w:cs="宋体"/>
                <w:kern w:val="2"/>
                <w:sz w:val="24"/>
                <w:szCs w:val="24"/>
              </w:rPr>
            </w:pPr>
            <w:r>
              <w:rPr>
                <w:rFonts w:hAnsi="宋体" w:cs="宋体"/>
                <w:kern w:val="2"/>
                <w:sz w:val="24"/>
                <w:szCs w:val="24"/>
              </w:rPr>
              <w:t>1</w:t>
            </w:r>
            <w:r>
              <w:rPr>
                <w:rFonts w:hint="eastAsia" w:hAnsi="宋体" w:cs="宋体"/>
                <w:kern w:val="2"/>
                <w:sz w:val="24"/>
                <w:szCs w:val="24"/>
              </w:rPr>
              <w:t>.根据供应商提供的项目实施方案(包含1.课程设计；2.拍摄准备；3.课程拍摄；4.课程后期制作；5</w:t>
            </w:r>
            <w:r>
              <w:rPr>
                <w:sz w:val="24"/>
                <w:szCs w:val="24"/>
              </w:rPr>
              <w:t>.</w:t>
            </w:r>
            <w:r>
              <w:rPr>
                <w:rFonts w:hint="eastAsia"/>
                <w:sz w:val="24"/>
                <w:szCs w:val="24"/>
              </w:rPr>
              <w:t xml:space="preserve"> 课程运行推广</w:t>
            </w:r>
            <w:r>
              <w:rPr>
                <w:rFonts w:hint="eastAsia" w:hAnsi="宋体" w:cs="宋体"/>
                <w:kern w:val="2"/>
                <w:sz w:val="24"/>
                <w:szCs w:val="24"/>
              </w:rPr>
              <w:t>)进行综合评审。上述方案完整、内容描述详细、完全符合采购项目采购需求的得10分，以上方面每一处存在缺陷（缺陷指与项目实际情况不符或不满足项目需求或内容缺失）的扣2分，扣完本项分值为止。</w:t>
            </w:r>
          </w:p>
          <w:p>
            <w:pPr>
              <w:spacing w:line="480" w:lineRule="exact"/>
              <w:ind w:firstLine="480" w:firstLineChars="200"/>
              <w:rPr>
                <w:rFonts w:hAnsi="宋体" w:cs="宋体"/>
                <w:kern w:val="2"/>
                <w:sz w:val="24"/>
                <w:szCs w:val="24"/>
              </w:rPr>
            </w:pPr>
            <w:r>
              <w:rPr>
                <w:rFonts w:hAnsi="宋体" w:cs="宋体"/>
                <w:kern w:val="2"/>
                <w:sz w:val="24"/>
                <w:szCs w:val="24"/>
              </w:rPr>
              <w:t>2</w:t>
            </w:r>
            <w:r>
              <w:rPr>
                <w:rFonts w:hint="eastAsia" w:hAnsi="宋体" w:cs="宋体"/>
                <w:kern w:val="2"/>
                <w:sz w:val="24"/>
                <w:szCs w:val="24"/>
              </w:rPr>
              <w:t>.根据供应商拟投入本项目人员配置(包括但不限于:1.课程设计与制作团队;2.视频拍摄团队;3.视频制作团队;4.课程运行推广团队等) 进行综合评审。上述配置完整得</w:t>
            </w:r>
            <w:r>
              <w:rPr>
                <w:rFonts w:hAnsi="宋体" w:cs="宋体"/>
                <w:kern w:val="2"/>
                <w:sz w:val="24"/>
                <w:szCs w:val="24"/>
              </w:rPr>
              <w:t>6</w:t>
            </w:r>
            <w:r>
              <w:rPr>
                <w:rFonts w:hint="eastAsia" w:hAnsi="宋体" w:cs="宋体"/>
                <w:kern w:val="2"/>
                <w:sz w:val="24"/>
                <w:szCs w:val="24"/>
              </w:rPr>
              <w:t>分，以上方面每一处存在缺陷（缺陷指与项目实际情况不符或不满足项目需求或内容缺失）的扣</w:t>
            </w:r>
            <w:r>
              <w:rPr>
                <w:rFonts w:hAnsi="宋体" w:cs="宋体"/>
                <w:kern w:val="2"/>
                <w:sz w:val="24"/>
                <w:szCs w:val="24"/>
              </w:rPr>
              <w:t>1.5</w:t>
            </w:r>
            <w:r>
              <w:rPr>
                <w:rFonts w:hint="eastAsia" w:hAnsi="宋体" w:cs="宋体"/>
                <w:kern w:val="2"/>
                <w:sz w:val="24"/>
                <w:szCs w:val="24"/>
              </w:rPr>
              <w:t>分，扣完本项分值为止。</w:t>
            </w:r>
          </w:p>
          <w:p>
            <w:pPr>
              <w:spacing w:line="480" w:lineRule="exact"/>
              <w:ind w:firstLine="480" w:firstLineChars="200"/>
              <w:rPr>
                <w:rFonts w:hAnsi="宋体" w:cs="宋体"/>
                <w:kern w:val="2"/>
                <w:sz w:val="24"/>
                <w:szCs w:val="24"/>
              </w:rPr>
            </w:pPr>
            <w:r>
              <w:rPr>
                <w:rFonts w:hint="eastAsia" w:hAnsi="宋体" w:cs="宋体"/>
                <w:kern w:val="2"/>
                <w:sz w:val="24"/>
                <w:szCs w:val="24"/>
              </w:rPr>
              <w:t>3</w:t>
            </w:r>
            <w:r>
              <w:rPr>
                <w:rFonts w:hAnsi="宋体" w:cs="宋体"/>
                <w:kern w:val="2"/>
                <w:sz w:val="24"/>
                <w:szCs w:val="24"/>
              </w:rPr>
              <w:t>.</w:t>
            </w:r>
            <w:r>
              <w:rPr>
                <w:rFonts w:hint="eastAsia" w:hAnsi="宋体" w:cs="宋体"/>
                <w:kern w:val="2"/>
                <w:sz w:val="24"/>
                <w:szCs w:val="24"/>
              </w:rPr>
              <w:t>根据供应商拟投入本项目设备配置(包括但不限于:1.拍摄相关设备；2.工作区设备；3.软件配置；4.拍摄现场管理方案等)进行综合评审。上述配置完整得</w:t>
            </w:r>
            <w:r>
              <w:rPr>
                <w:rFonts w:hAnsi="宋体" w:cs="宋体"/>
                <w:kern w:val="2"/>
                <w:sz w:val="24"/>
                <w:szCs w:val="24"/>
              </w:rPr>
              <w:t>6</w:t>
            </w:r>
            <w:r>
              <w:rPr>
                <w:rFonts w:hint="eastAsia" w:hAnsi="宋体" w:cs="宋体"/>
                <w:kern w:val="2"/>
                <w:sz w:val="24"/>
                <w:szCs w:val="24"/>
              </w:rPr>
              <w:t>分，以上方面每一处存在缺陷（缺陷指与项目实际情况不符或不满足项目需求或内容缺失）的扣</w:t>
            </w:r>
            <w:r>
              <w:rPr>
                <w:rFonts w:hAnsi="宋体" w:cs="宋体"/>
                <w:kern w:val="2"/>
                <w:sz w:val="24"/>
                <w:szCs w:val="24"/>
              </w:rPr>
              <w:t>1.5</w:t>
            </w:r>
            <w:r>
              <w:rPr>
                <w:rFonts w:hint="eastAsia" w:hAnsi="宋体" w:cs="宋体"/>
                <w:kern w:val="2"/>
                <w:sz w:val="24"/>
                <w:szCs w:val="24"/>
              </w:rPr>
              <w:t>分，扣完本项分值为止。</w:t>
            </w:r>
          </w:p>
          <w:p>
            <w:pPr>
              <w:pStyle w:val="78"/>
              <w:tabs>
                <w:tab w:val="left" w:pos="350"/>
              </w:tabs>
              <w:spacing w:before="6" w:line="440" w:lineRule="exact"/>
              <w:ind w:firstLine="480" w:firstLineChars="200"/>
              <w:rPr>
                <w:rFonts w:ascii="宋体" w:hAnsi="宋体" w:cs="宋体"/>
                <w:sz w:val="24"/>
              </w:rPr>
            </w:pPr>
            <w:r>
              <w:rPr>
                <w:rFonts w:hint="eastAsia" w:ascii="宋体" w:hAnsi="宋体" w:cs="宋体"/>
                <w:sz w:val="24"/>
              </w:rPr>
              <w:t>（供应商提供团队人员清单，列出人员姓名、工作任务、性别、身份证号码、联系方式。不提供不得分。 提供设备清单(列明品牌、型号、数量)、现场图片等。不提供不得分。）</w:t>
            </w:r>
            <w:r>
              <w:rPr>
                <w:rFonts w:ascii="宋体" w:hAnsi="宋体" w:cs="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727" w:type="dxa"/>
            <w:vAlign w:val="center"/>
          </w:tcPr>
          <w:p>
            <w:pPr>
              <w:pStyle w:val="78"/>
              <w:adjustRightInd w:val="0"/>
              <w:snapToGrid w:val="0"/>
              <w:jc w:val="center"/>
              <w:rPr>
                <w:rFonts w:ascii="宋体" w:hAnsi="宋体" w:cs="宋体"/>
                <w:sz w:val="24"/>
              </w:rPr>
            </w:pPr>
            <w:r>
              <w:rPr>
                <w:rFonts w:hint="eastAsia" w:ascii="宋体" w:hAnsi="宋体" w:cs="宋体"/>
                <w:sz w:val="24"/>
              </w:rPr>
              <w:t>4</w:t>
            </w:r>
          </w:p>
        </w:tc>
        <w:tc>
          <w:tcPr>
            <w:tcW w:w="1883" w:type="dxa"/>
            <w:vAlign w:val="center"/>
          </w:tcPr>
          <w:p>
            <w:pPr>
              <w:pStyle w:val="78"/>
              <w:adjustRightInd w:val="0"/>
              <w:snapToGrid w:val="0"/>
              <w:jc w:val="center"/>
              <w:rPr>
                <w:rFonts w:ascii="宋体" w:hAnsi="Calibri"/>
                <w:kern w:val="0"/>
                <w:sz w:val="24"/>
              </w:rPr>
            </w:pPr>
            <w:r>
              <w:rPr>
                <w:rFonts w:hint="eastAsia" w:ascii="宋体" w:hAnsi="Calibri"/>
                <w:kern w:val="0"/>
                <w:sz w:val="24"/>
              </w:rPr>
              <w:t>履约能力（</w:t>
            </w:r>
            <w:r>
              <w:rPr>
                <w:rFonts w:ascii="宋体" w:hAnsi="Calibri"/>
                <w:kern w:val="0"/>
                <w:sz w:val="24"/>
              </w:rPr>
              <w:t>15</w:t>
            </w:r>
            <w:r>
              <w:rPr>
                <w:rFonts w:hint="eastAsia" w:ascii="宋体" w:hAnsi="Calibri"/>
                <w:kern w:val="0"/>
                <w:sz w:val="24"/>
              </w:rPr>
              <w:t>分）</w:t>
            </w:r>
          </w:p>
        </w:tc>
        <w:tc>
          <w:tcPr>
            <w:tcW w:w="7089" w:type="dxa"/>
          </w:tcPr>
          <w:p>
            <w:pPr>
              <w:adjustRightInd w:val="0"/>
              <w:ind w:firstLine="480" w:firstLineChars="200"/>
              <w:textAlignment w:val="baseline"/>
              <w:rPr>
                <w:sz w:val="24"/>
                <w:szCs w:val="24"/>
              </w:rPr>
            </w:pPr>
            <w:r>
              <w:rPr>
                <w:rFonts w:hint="eastAsia"/>
                <w:sz w:val="24"/>
                <w:szCs w:val="24"/>
              </w:rPr>
              <w:t>供应商具有A</w:t>
            </w:r>
            <w:r>
              <w:rPr>
                <w:sz w:val="24"/>
                <w:szCs w:val="24"/>
              </w:rPr>
              <w:t>AA</w:t>
            </w:r>
            <w:r>
              <w:rPr>
                <w:rFonts w:hint="eastAsia"/>
                <w:sz w:val="24"/>
                <w:szCs w:val="24"/>
              </w:rPr>
              <w:t>级信用等级证书、具有质量管理体系认证证书、具有智慧教学管理平台相关著作权登记证书、具有出版物经营许可证、具有广播电视节目制作经营许可证，每提供一个得</w:t>
            </w:r>
            <w:r>
              <w:rPr>
                <w:sz w:val="24"/>
                <w:szCs w:val="24"/>
              </w:rPr>
              <w:t>3</w:t>
            </w:r>
            <w:r>
              <w:rPr>
                <w:rFonts w:hint="eastAsia"/>
                <w:sz w:val="24"/>
                <w:szCs w:val="24"/>
              </w:rPr>
              <w:t>分，本项最多得1</w:t>
            </w:r>
            <w:r>
              <w:rPr>
                <w:sz w:val="24"/>
                <w:szCs w:val="24"/>
              </w:rPr>
              <w:t>5</w:t>
            </w:r>
            <w:r>
              <w:rPr>
                <w:rFonts w:hint="eastAsia"/>
                <w:sz w:val="24"/>
                <w:szCs w:val="24"/>
              </w:rPr>
              <w:t>分。（提供相关证明材料复印件加盖供应商公章）</w:t>
            </w:r>
          </w:p>
        </w:tc>
      </w:tr>
    </w:tbl>
    <w:p>
      <w:pPr>
        <w:rPr>
          <w:rFonts w:hAnsi="宋体" w:cs="宋体"/>
          <w:sz w:val="30"/>
          <w:szCs w:val="30"/>
        </w:rPr>
      </w:pPr>
    </w:p>
    <w:p>
      <w:pPr>
        <w:rPr>
          <w:rFonts w:hAnsi="宋体" w:cs="宋体"/>
          <w:sz w:val="30"/>
          <w:szCs w:val="30"/>
        </w:rPr>
      </w:pPr>
    </w:p>
    <w:p>
      <w:pPr>
        <w:pStyle w:val="2"/>
        <w:ind w:left="680" w:firstLine="680"/>
      </w:pPr>
    </w:p>
    <w:p>
      <w:pPr>
        <w:ind w:firstLine="3000" w:firstLineChars="1000"/>
        <w:rPr>
          <w:rFonts w:hAnsi="宋体" w:cs="宋体"/>
          <w:sz w:val="30"/>
          <w:szCs w:val="30"/>
        </w:rPr>
      </w:pPr>
    </w:p>
    <w:p>
      <w:pPr>
        <w:ind w:firstLine="3000" w:firstLineChars="1000"/>
        <w:rPr>
          <w:rFonts w:hAnsi="宋体" w:cs="宋体"/>
          <w:sz w:val="30"/>
          <w:szCs w:val="30"/>
        </w:rPr>
      </w:pPr>
    </w:p>
    <w:p>
      <w:pPr>
        <w:pStyle w:val="2"/>
        <w:ind w:left="680" w:firstLine="680"/>
      </w:pPr>
    </w:p>
    <w:p/>
    <w:p>
      <w:pPr>
        <w:pStyle w:val="2"/>
        <w:ind w:left="680" w:firstLine="680"/>
      </w:pPr>
    </w:p>
    <w:p>
      <w:pPr>
        <w:ind w:firstLine="3000" w:firstLineChars="1000"/>
        <w:rPr>
          <w:rFonts w:hAnsi="宋体" w:cs="宋体"/>
          <w:sz w:val="30"/>
          <w:szCs w:val="30"/>
        </w:rPr>
      </w:pPr>
    </w:p>
    <w:p>
      <w:pPr>
        <w:ind w:firstLine="3000" w:firstLineChars="1000"/>
        <w:rPr>
          <w:rFonts w:hAnsi="宋体" w:cs="宋体"/>
          <w:sz w:val="30"/>
          <w:szCs w:val="30"/>
        </w:rPr>
      </w:pPr>
      <w:r>
        <w:rPr>
          <w:rFonts w:hint="eastAsia" w:hAnsi="宋体" w:cs="宋体"/>
          <w:sz w:val="30"/>
          <w:szCs w:val="30"/>
        </w:rPr>
        <w:t>第六章 合同主要条款</w:t>
      </w:r>
    </w:p>
    <w:p>
      <w:pPr>
        <w:ind w:firstLine="3614" w:firstLineChars="1500"/>
      </w:pPr>
      <w:r>
        <w:rPr>
          <w:rFonts w:hint="eastAsia" w:ascii="Times New Roman" w:hAnsi="宋体" w:cs="宋体"/>
          <w:b/>
          <w:bCs/>
          <w:sz w:val="24"/>
          <w:szCs w:val="24"/>
        </w:rPr>
        <w:t>（双方协商签订</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585" cy="280035"/>
              <wp:effectExtent l="0" t="0" r="5715" b="5715"/>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59264;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0F47tEAAAADAQAADwAAAAAAAAABACAAAAAiAAAAZHJzL2Rvd25yZXYueG1s&#10;UEsBAhQAFAAAAAgAh07iQJabwZv/AQAA9QMAAA4AAAAAAAAAAQAgAAAAIA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27</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hAnsi="宋体"/>
      </w:rPr>
      <w:t>公共教学部课程思政建设</w:t>
    </w:r>
    <w:r>
      <w:rPr>
        <w:rFonts w:hint="eastAsia" w:hAnsi="宋体"/>
        <w:lang w:val="en-US" w:eastAsia="zh-CN"/>
      </w:rPr>
      <w:t>第2次</w:t>
    </w:r>
    <w:r>
      <w:rPr>
        <w:rFonts w:hint="eastAsia" w:hAnsi="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ind w:left="1428" w:hanging="72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1">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F282DAC"/>
    <w:multiLevelType w:val="singleLevel"/>
    <w:tmpl w:val="4F282DAC"/>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01B4D"/>
    <w:rsid w:val="0001189E"/>
    <w:rsid w:val="00013F1F"/>
    <w:rsid w:val="00015B12"/>
    <w:rsid w:val="00015F31"/>
    <w:rsid w:val="00020591"/>
    <w:rsid w:val="00022579"/>
    <w:rsid w:val="000227F3"/>
    <w:rsid w:val="000300FA"/>
    <w:rsid w:val="000305B8"/>
    <w:rsid w:val="00034E6A"/>
    <w:rsid w:val="00037883"/>
    <w:rsid w:val="00040F92"/>
    <w:rsid w:val="000414D3"/>
    <w:rsid w:val="000476C7"/>
    <w:rsid w:val="00062B97"/>
    <w:rsid w:val="00074602"/>
    <w:rsid w:val="00083A44"/>
    <w:rsid w:val="000921E3"/>
    <w:rsid w:val="000955D2"/>
    <w:rsid w:val="000A1BAE"/>
    <w:rsid w:val="000B2D46"/>
    <w:rsid w:val="000C3891"/>
    <w:rsid w:val="000C53BC"/>
    <w:rsid w:val="000D3C29"/>
    <w:rsid w:val="000E3A51"/>
    <w:rsid w:val="000F0B31"/>
    <w:rsid w:val="00104D52"/>
    <w:rsid w:val="00111D52"/>
    <w:rsid w:val="00115F7B"/>
    <w:rsid w:val="0011612A"/>
    <w:rsid w:val="00126671"/>
    <w:rsid w:val="001269FA"/>
    <w:rsid w:val="00142405"/>
    <w:rsid w:val="001433DB"/>
    <w:rsid w:val="0014556F"/>
    <w:rsid w:val="00157635"/>
    <w:rsid w:val="00172A27"/>
    <w:rsid w:val="001816D1"/>
    <w:rsid w:val="00181E14"/>
    <w:rsid w:val="00185388"/>
    <w:rsid w:val="00194319"/>
    <w:rsid w:val="001943F1"/>
    <w:rsid w:val="001A1EDF"/>
    <w:rsid w:val="001A30C1"/>
    <w:rsid w:val="001A3304"/>
    <w:rsid w:val="001C4C5D"/>
    <w:rsid w:val="001D590C"/>
    <w:rsid w:val="001E077D"/>
    <w:rsid w:val="0021094F"/>
    <w:rsid w:val="002114B9"/>
    <w:rsid w:val="00213CF5"/>
    <w:rsid w:val="00214550"/>
    <w:rsid w:val="0021517F"/>
    <w:rsid w:val="00215D24"/>
    <w:rsid w:val="002222E6"/>
    <w:rsid w:val="00225FC9"/>
    <w:rsid w:val="00231CEA"/>
    <w:rsid w:val="00242F03"/>
    <w:rsid w:val="00252539"/>
    <w:rsid w:val="0025566C"/>
    <w:rsid w:val="002619F7"/>
    <w:rsid w:val="0027116E"/>
    <w:rsid w:val="002723FE"/>
    <w:rsid w:val="002740EE"/>
    <w:rsid w:val="00277088"/>
    <w:rsid w:val="002802D2"/>
    <w:rsid w:val="00280F89"/>
    <w:rsid w:val="002932A5"/>
    <w:rsid w:val="002945D4"/>
    <w:rsid w:val="00297578"/>
    <w:rsid w:val="002A6490"/>
    <w:rsid w:val="002F3A9D"/>
    <w:rsid w:val="00302533"/>
    <w:rsid w:val="00302BEB"/>
    <w:rsid w:val="00303BEC"/>
    <w:rsid w:val="0031337F"/>
    <w:rsid w:val="00314D2B"/>
    <w:rsid w:val="00315726"/>
    <w:rsid w:val="00315BFD"/>
    <w:rsid w:val="00324EA0"/>
    <w:rsid w:val="00330AB4"/>
    <w:rsid w:val="00333F18"/>
    <w:rsid w:val="003426C9"/>
    <w:rsid w:val="0034384C"/>
    <w:rsid w:val="003438E5"/>
    <w:rsid w:val="00351B66"/>
    <w:rsid w:val="0035599F"/>
    <w:rsid w:val="00356F68"/>
    <w:rsid w:val="00374997"/>
    <w:rsid w:val="00376338"/>
    <w:rsid w:val="0038282C"/>
    <w:rsid w:val="003844A8"/>
    <w:rsid w:val="00384840"/>
    <w:rsid w:val="00385E8B"/>
    <w:rsid w:val="003A3450"/>
    <w:rsid w:val="003A564F"/>
    <w:rsid w:val="003C2094"/>
    <w:rsid w:val="003C49AF"/>
    <w:rsid w:val="003D00DA"/>
    <w:rsid w:val="003D11A5"/>
    <w:rsid w:val="003D4974"/>
    <w:rsid w:val="003D6934"/>
    <w:rsid w:val="003E1BF9"/>
    <w:rsid w:val="003E2D70"/>
    <w:rsid w:val="003F4143"/>
    <w:rsid w:val="0040317E"/>
    <w:rsid w:val="0041087A"/>
    <w:rsid w:val="00412E90"/>
    <w:rsid w:val="00423D03"/>
    <w:rsid w:val="004250DD"/>
    <w:rsid w:val="004368FD"/>
    <w:rsid w:val="00450DBA"/>
    <w:rsid w:val="00451066"/>
    <w:rsid w:val="0046280F"/>
    <w:rsid w:val="00477BEA"/>
    <w:rsid w:val="00484F83"/>
    <w:rsid w:val="004856D2"/>
    <w:rsid w:val="00485779"/>
    <w:rsid w:val="004A0487"/>
    <w:rsid w:val="004A550E"/>
    <w:rsid w:val="004A58BA"/>
    <w:rsid w:val="004A603A"/>
    <w:rsid w:val="004B0DBB"/>
    <w:rsid w:val="004B6322"/>
    <w:rsid w:val="004D0C88"/>
    <w:rsid w:val="004E4B00"/>
    <w:rsid w:val="004E54D8"/>
    <w:rsid w:val="004F0192"/>
    <w:rsid w:val="004F3B9B"/>
    <w:rsid w:val="004F5512"/>
    <w:rsid w:val="004F718A"/>
    <w:rsid w:val="00510855"/>
    <w:rsid w:val="0051463D"/>
    <w:rsid w:val="00517148"/>
    <w:rsid w:val="00522931"/>
    <w:rsid w:val="00523D5E"/>
    <w:rsid w:val="00526EF1"/>
    <w:rsid w:val="00534CBB"/>
    <w:rsid w:val="00541E7A"/>
    <w:rsid w:val="00551968"/>
    <w:rsid w:val="005523F9"/>
    <w:rsid w:val="0055330A"/>
    <w:rsid w:val="00565D29"/>
    <w:rsid w:val="0057392A"/>
    <w:rsid w:val="0057670A"/>
    <w:rsid w:val="00577163"/>
    <w:rsid w:val="0058164F"/>
    <w:rsid w:val="00581EB4"/>
    <w:rsid w:val="00587168"/>
    <w:rsid w:val="00593373"/>
    <w:rsid w:val="005A011C"/>
    <w:rsid w:val="005A1491"/>
    <w:rsid w:val="005B51EA"/>
    <w:rsid w:val="005C0690"/>
    <w:rsid w:val="005D660E"/>
    <w:rsid w:val="005D76BC"/>
    <w:rsid w:val="005E686E"/>
    <w:rsid w:val="005F3651"/>
    <w:rsid w:val="005F6239"/>
    <w:rsid w:val="005F6D20"/>
    <w:rsid w:val="006076D0"/>
    <w:rsid w:val="006178E3"/>
    <w:rsid w:val="00620960"/>
    <w:rsid w:val="006317E0"/>
    <w:rsid w:val="00635F60"/>
    <w:rsid w:val="0064548D"/>
    <w:rsid w:val="00646F9E"/>
    <w:rsid w:val="00666B9F"/>
    <w:rsid w:val="00667782"/>
    <w:rsid w:val="0067044A"/>
    <w:rsid w:val="0067461D"/>
    <w:rsid w:val="006813F1"/>
    <w:rsid w:val="0068224E"/>
    <w:rsid w:val="00690CCE"/>
    <w:rsid w:val="00691F6C"/>
    <w:rsid w:val="00691FBB"/>
    <w:rsid w:val="006968FB"/>
    <w:rsid w:val="00696D89"/>
    <w:rsid w:val="006A04FB"/>
    <w:rsid w:val="006B3B23"/>
    <w:rsid w:val="006B5D0E"/>
    <w:rsid w:val="006B634A"/>
    <w:rsid w:val="006B64B2"/>
    <w:rsid w:val="006B797C"/>
    <w:rsid w:val="006C59D1"/>
    <w:rsid w:val="006C7451"/>
    <w:rsid w:val="006E3DDB"/>
    <w:rsid w:val="006F06EF"/>
    <w:rsid w:val="006F46D4"/>
    <w:rsid w:val="006F4716"/>
    <w:rsid w:val="00702D28"/>
    <w:rsid w:val="00712595"/>
    <w:rsid w:val="00720229"/>
    <w:rsid w:val="00722B66"/>
    <w:rsid w:val="00731735"/>
    <w:rsid w:val="00735003"/>
    <w:rsid w:val="00735742"/>
    <w:rsid w:val="00737A85"/>
    <w:rsid w:val="00740C17"/>
    <w:rsid w:val="007432C8"/>
    <w:rsid w:val="00764FE2"/>
    <w:rsid w:val="0076501E"/>
    <w:rsid w:val="00767976"/>
    <w:rsid w:val="00771D10"/>
    <w:rsid w:val="00781344"/>
    <w:rsid w:val="0078177F"/>
    <w:rsid w:val="00781CCB"/>
    <w:rsid w:val="00786217"/>
    <w:rsid w:val="007956B7"/>
    <w:rsid w:val="007C5D97"/>
    <w:rsid w:val="007D0792"/>
    <w:rsid w:val="007D1094"/>
    <w:rsid w:val="007D60BE"/>
    <w:rsid w:val="007E08AE"/>
    <w:rsid w:val="007E3542"/>
    <w:rsid w:val="007F62D2"/>
    <w:rsid w:val="00815FBB"/>
    <w:rsid w:val="00823CD6"/>
    <w:rsid w:val="008351A2"/>
    <w:rsid w:val="008465E2"/>
    <w:rsid w:val="00850AE8"/>
    <w:rsid w:val="0085182D"/>
    <w:rsid w:val="00852219"/>
    <w:rsid w:val="00854B0E"/>
    <w:rsid w:val="00861B35"/>
    <w:rsid w:val="00861D35"/>
    <w:rsid w:val="0086252A"/>
    <w:rsid w:val="008705D4"/>
    <w:rsid w:val="00871346"/>
    <w:rsid w:val="008721DC"/>
    <w:rsid w:val="008826E8"/>
    <w:rsid w:val="00893F3D"/>
    <w:rsid w:val="0089527E"/>
    <w:rsid w:val="008A3275"/>
    <w:rsid w:val="008A372A"/>
    <w:rsid w:val="008A733D"/>
    <w:rsid w:val="008A775B"/>
    <w:rsid w:val="008B3F4F"/>
    <w:rsid w:val="008B6A28"/>
    <w:rsid w:val="008B7849"/>
    <w:rsid w:val="008C4C5D"/>
    <w:rsid w:val="008D4B57"/>
    <w:rsid w:val="008E283A"/>
    <w:rsid w:val="008F1768"/>
    <w:rsid w:val="008F483A"/>
    <w:rsid w:val="008F5D03"/>
    <w:rsid w:val="00900A6F"/>
    <w:rsid w:val="00907738"/>
    <w:rsid w:val="009123FA"/>
    <w:rsid w:val="00916D1E"/>
    <w:rsid w:val="00927129"/>
    <w:rsid w:val="0093288F"/>
    <w:rsid w:val="00935B90"/>
    <w:rsid w:val="00947123"/>
    <w:rsid w:val="00953907"/>
    <w:rsid w:val="009541A1"/>
    <w:rsid w:val="00956AE4"/>
    <w:rsid w:val="00957FDB"/>
    <w:rsid w:val="00960833"/>
    <w:rsid w:val="00960E98"/>
    <w:rsid w:val="00964782"/>
    <w:rsid w:val="00972868"/>
    <w:rsid w:val="00975AC6"/>
    <w:rsid w:val="00983489"/>
    <w:rsid w:val="0098597A"/>
    <w:rsid w:val="009939CB"/>
    <w:rsid w:val="0099747D"/>
    <w:rsid w:val="009976EE"/>
    <w:rsid w:val="009A21CB"/>
    <w:rsid w:val="009B2D67"/>
    <w:rsid w:val="009B7EC9"/>
    <w:rsid w:val="009D1F47"/>
    <w:rsid w:val="009D23DB"/>
    <w:rsid w:val="009D4EE9"/>
    <w:rsid w:val="009E1130"/>
    <w:rsid w:val="009F639B"/>
    <w:rsid w:val="00A0208D"/>
    <w:rsid w:val="00A03414"/>
    <w:rsid w:val="00A06253"/>
    <w:rsid w:val="00A075C3"/>
    <w:rsid w:val="00A11CF0"/>
    <w:rsid w:val="00A13D90"/>
    <w:rsid w:val="00A2152A"/>
    <w:rsid w:val="00A23C2C"/>
    <w:rsid w:val="00A26126"/>
    <w:rsid w:val="00A27709"/>
    <w:rsid w:val="00A415A9"/>
    <w:rsid w:val="00A459B8"/>
    <w:rsid w:val="00A57A27"/>
    <w:rsid w:val="00A62532"/>
    <w:rsid w:val="00A65074"/>
    <w:rsid w:val="00A65676"/>
    <w:rsid w:val="00A659A2"/>
    <w:rsid w:val="00A7009A"/>
    <w:rsid w:val="00A8288C"/>
    <w:rsid w:val="00A83A88"/>
    <w:rsid w:val="00A92172"/>
    <w:rsid w:val="00A9666E"/>
    <w:rsid w:val="00AA1D32"/>
    <w:rsid w:val="00AA32F5"/>
    <w:rsid w:val="00AA4F6C"/>
    <w:rsid w:val="00AB1F36"/>
    <w:rsid w:val="00AB5A97"/>
    <w:rsid w:val="00AC35F4"/>
    <w:rsid w:val="00AE0E42"/>
    <w:rsid w:val="00AE5591"/>
    <w:rsid w:val="00B05B40"/>
    <w:rsid w:val="00B10AC3"/>
    <w:rsid w:val="00B35C4C"/>
    <w:rsid w:val="00B634A6"/>
    <w:rsid w:val="00B64942"/>
    <w:rsid w:val="00B92137"/>
    <w:rsid w:val="00BA023A"/>
    <w:rsid w:val="00BA04EB"/>
    <w:rsid w:val="00BA1E3F"/>
    <w:rsid w:val="00BA7A4D"/>
    <w:rsid w:val="00BB1824"/>
    <w:rsid w:val="00BB56BC"/>
    <w:rsid w:val="00BC4021"/>
    <w:rsid w:val="00BC52EB"/>
    <w:rsid w:val="00BC7DE2"/>
    <w:rsid w:val="00BD2B90"/>
    <w:rsid w:val="00BE0CDD"/>
    <w:rsid w:val="00BE3EDE"/>
    <w:rsid w:val="00BF30A0"/>
    <w:rsid w:val="00BF5C97"/>
    <w:rsid w:val="00BF6F90"/>
    <w:rsid w:val="00C06511"/>
    <w:rsid w:val="00C10464"/>
    <w:rsid w:val="00C11284"/>
    <w:rsid w:val="00C132F6"/>
    <w:rsid w:val="00C15F61"/>
    <w:rsid w:val="00C16CAE"/>
    <w:rsid w:val="00C17ECC"/>
    <w:rsid w:val="00C3181D"/>
    <w:rsid w:val="00C35C05"/>
    <w:rsid w:val="00C50C93"/>
    <w:rsid w:val="00C52250"/>
    <w:rsid w:val="00C54697"/>
    <w:rsid w:val="00C55CD0"/>
    <w:rsid w:val="00C70180"/>
    <w:rsid w:val="00C81C28"/>
    <w:rsid w:val="00C821FD"/>
    <w:rsid w:val="00C82454"/>
    <w:rsid w:val="00C82BBB"/>
    <w:rsid w:val="00C83A4C"/>
    <w:rsid w:val="00C8568F"/>
    <w:rsid w:val="00C8705B"/>
    <w:rsid w:val="00C93064"/>
    <w:rsid w:val="00C937B1"/>
    <w:rsid w:val="00CA64F2"/>
    <w:rsid w:val="00CB1E2C"/>
    <w:rsid w:val="00CB78BD"/>
    <w:rsid w:val="00CB7B63"/>
    <w:rsid w:val="00CC2948"/>
    <w:rsid w:val="00CC3621"/>
    <w:rsid w:val="00CC5987"/>
    <w:rsid w:val="00CC6ED4"/>
    <w:rsid w:val="00CD004D"/>
    <w:rsid w:val="00CD0453"/>
    <w:rsid w:val="00CD3D0C"/>
    <w:rsid w:val="00CD4587"/>
    <w:rsid w:val="00CE5482"/>
    <w:rsid w:val="00D0210B"/>
    <w:rsid w:val="00D21B10"/>
    <w:rsid w:val="00D339E0"/>
    <w:rsid w:val="00D40A36"/>
    <w:rsid w:val="00D40F38"/>
    <w:rsid w:val="00D41FFE"/>
    <w:rsid w:val="00D50452"/>
    <w:rsid w:val="00D57F33"/>
    <w:rsid w:val="00D60F7C"/>
    <w:rsid w:val="00D65F48"/>
    <w:rsid w:val="00D67F05"/>
    <w:rsid w:val="00D72148"/>
    <w:rsid w:val="00D76A4F"/>
    <w:rsid w:val="00D76C8E"/>
    <w:rsid w:val="00D81C14"/>
    <w:rsid w:val="00D84540"/>
    <w:rsid w:val="00D907DF"/>
    <w:rsid w:val="00D9414E"/>
    <w:rsid w:val="00D95408"/>
    <w:rsid w:val="00DA21B8"/>
    <w:rsid w:val="00DB3C91"/>
    <w:rsid w:val="00DC0447"/>
    <w:rsid w:val="00DC4377"/>
    <w:rsid w:val="00DC4A4A"/>
    <w:rsid w:val="00DC6D26"/>
    <w:rsid w:val="00DD2646"/>
    <w:rsid w:val="00DD26EF"/>
    <w:rsid w:val="00DE0AD4"/>
    <w:rsid w:val="00DE1587"/>
    <w:rsid w:val="00DE1B68"/>
    <w:rsid w:val="00DE4625"/>
    <w:rsid w:val="00DE761B"/>
    <w:rsid w:val="00DF6E1E"/>
    <w:rsid w:val="00E0134E"/>
    <w:rsid w:val="00E152F7"/>
    <w:rsid w:val="00E1616D"/>
    <w:rsid w:val="00E22C25"/>
    <w:rsid w:val="00E27570"/>
    <w:rsid w:val="00E34A15"/>
    <w:rsid w:val="00E44A52"/>
    <w:rsid w:val="00E56AF3"/>
    <w:rsid w:val="00E66D51"/>
    <w:rsid w:val="00E73B8A"/>
    <w:rsid w:val="00E742A7"/>
    <w:rsid w:val="00E76852"/>
    <w:rsid w:val="00E77F85"/>
    <w:rsid w:val="00E8706F"/>
    <w:rsid w:val="00E9576A"/>
    <w:rsid w:val="00EA3731"/>
    <w:rsid w:val="00EA6F1B"/>
    <w:rsid w:val="00EB505F"/>
    <w:rsid w:val="00EC14D2"/>
    <w:rsid w:val="00ED6EA0"/>
    <w:rsid w:val="00EE1B3C"/>
    <w:rsid w:val="00EF4DBE"/>
    <w:rsid w:val="00EF51D7"/>
    <w:rsid w:val="00EF7675"/>
    <w:rsid w:val="00F14C96"/>
    <w:rsid w:val="00F53608"/>
    <w:rsid w:val="00F604E1"/>
    <w:rsid w:val="00F75655"/>
    <w:rsid w:val="00F80326"/>
    <w:rsid w:val="00F82A64"/>
    <w:rsid w:val="00F86B39"/>
    <w:rsid w:val="00FA0D6E"/>
    <w:rsid w:val="00FB325C"/>
    <w:rsid w:val="00FC56B8"/>
    <w:rsid w:val="00FC5B97"/>
    <w:rsid w:val="00FC5BDA"/>
    <w:rsid w:val="00FC6A75"/>
    <w:rsid w:val="00FD07E4"/>
    <w:rsid w:val="00FD0A36"/>
    <w:rsid w:val="00FD2F96"/>
    <w:rsid w:val="00FE3048"/>
    <w:rsid w:val="00FF13B3"/>
    <w:rsid w:val="00FF26A4"/>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4702C"/>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EE478A"/>
    <w:rsid w:val="0CFA01E0"/>
    <w:rsid w:val="0D06536D"/>
    <w:rsid w:val="0D1158FC"/>
    <w:rsid w:val="0D1A078A"/>
    <w:rsid w:val="0D1D7190"/>
    <w:rsid w:val="0D3835BD"/>
    <w:rsid w:val="0D8536BD"/>
    <w:rsid w:val="0DC44BFF"/>
    <w:rsid w:val="0DDE5050"/>
    <w:rsid w:val="0DEA0E63"/>
    <w:rsid w:val="0E317059"/>
    <w:rsid w:val="0E4017EB"/>
    <w:rsid w:val="0E7D16D6"/>
    <w:rsid w:val="0E991F00"/>
    <w:rsid w:val="0E9D0906"/>
    <w:rsid w:val="0EA03F84"/>
    <w:rsid w:val="0EB4052B"/>
    <w:rsid w:val="0EBA5CB8"/>
    <w:rsid w:val="0EF21695"/>
    <w:rsid w:val="0F1550CD"/>
    <w:rsid w:val="0F2E087C"/>
    <w:rsid w:val="0F596ABB"/>
    <w:rsid w:val="0F5D0D44"/>
    <w:rsid w:val="0F6A005A"/>
    <w:rsid w:val="0FB04F4B"/>
    <w:rsid w:val="0FB6767A"/>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BC3B96"/>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42109"/>
    <w:rsid w:val="173A446A"/>
    <w:rsid w:val="17550AD5"/>
    <w:rsid w:val="175C045F"/>
    <w:rsid w:val="176B30C3"/>
    <w:rsid w:val="1780519C"/>
    <w:rsid w:val="1784532C"/>
    <w:rsid w:val="17A553DC"/>
    <w:rsid w:val="17B0376D"/>
    <w:rsid w:val="17C77B0F"/>
    <w:rsid w:val="17DC4231"/>
    <w:rsid w:val="17E838C7"/>
    <w:rsid w:val="18104A8B"/>
    <w:rsid w:val="18147F52"/>
    <w:rsid w:val="18322A41"/>
    <w:rsid w:val="183E46C8"/>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98216B"/>
    <w:rsid w:val="1AA56775"/>
    <w:rsid w:val="1AAE7552"/>
    <w:rsid w:val="1ADD2620"/>
    <w:rsid w:val="1AEB73B7"/>
    <w:rsid w:val="1AED613D"/>
    <w:rsid w:val="1AFC1DF0"/>
    <w:rsid w:val="1B4A1EFB"/>
    <w:rsid w:val="1B685A87"/>
    <w:rsid w:val="1B6C0C0A"/>
    <w:rsid w:val="1B6D668B"/>
    <w:rsid w:val="1B835BE0"/>
    <w:rsid w:val="1B933D1E"/>
    <w:rsid w:val="1BA40417"/>
    <w:rsid w:val="1BC51582"/>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660C5"/>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29B2CBA"/>
    <w:rsid w:val="230C2B7A"/>
    <w:rsid w:val="232C45F5"/>
    <w:rsid w:val="23574571"/>
    <w:rsid w:val="235C138F"/>
    <w:rsid w:val="23A52A88"/>
    <w:rsid w:val="23C478CF"/>
    <w:rsid w:val="23C8654A"/>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24756"/>
    <w:rsid w:val="269363C3"/>
    <w:rsid w:val="26B149A9"/>
    <w:rsid w:val="26D12FC0"/>
    <w:rsid w:val="26E25459"/>
    <w:rsid w:val="26E32EDA"/>
    <w:rsid w:val="26FE3DD4"/>
    <w:rsid w:val="2701728E"/>
    <w:rsid w:val="272557B3"/>
    <w:rsid w:val="27547C5E"/>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872B3B"/>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91571B"/>
    <w:rsid w:val="30A30058"/>
    <w:rsid w:val="30AC7C7A"/>
    <w:rsid w:val="30E80B4C"/>
    <w:rsid w:val="312B28BA"/>
    <w:rsid w:val="312F34BF"/>
    <w:rsid w:val="313C4D53"/>
    <w:rsid w:val="314C0871"/>
    <w:rsid w:val="31575E16"/>
    <w:rsid w:val="317503B0"/>
    <w:rsid w:val="319A2078"/>
    <w:rsid w:val="319D7376"/>
    <w:rsid w:val="31B02B14"/>
    <w:rsid w:val="31F631C3"/>
    <w:rsid w:val="320A1F29"/>
    <w:rsid w:val="320F2B2D"/>
    <w:rsid w:val="32106030"/>
    <w:rsid w:val="32424199"/>
    <w:rsid w:val="324D5E95"/>
    <w:rsid w:val="326D0948"/>
    <w:rsid w:val="329F430C"/>
    <w:rsid w:val="32B87F45"/>
    <w:rsid w:val="32CC1FE7"/>
    <w:rsid w:val="32D94927"/>
    <w:rsid w:val="32E95D13"/>
    <w:rsid w:val="336268C9"/>
    <w:rsid w:val="33701470"/>
    <w:rsid w:val="337558F7"/>
    <w:rsid w:val="33BB6CF3"/>
    <w:rsid w:val="33BE2874"/>
    <w:rsid w:val="33E85C36"/>
    <w:rsid w:val="33E97114"/>
    <w:rsid w:val="342966A0"/>
    <w:rsid w:val="342B1BA3"/>
    <w:rsid w:val="34475748"/>
    <w:rsid w:val="34660AD0"/>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AA39B1"/>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992100"/>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239D7"/>
    <w:rsid w:val="436832A5"/>
    <w:rsid w:val="43C97374"/>
    <w:rsid w:val="43CE2645"/>
    <w:rsid w:val="43EC5A7C"/>
    <w:rsid w:val="44146C41"/>
    <w:rsid w:val="44491031"/>
    <w:rsid w:val="44524527"/>
    <w:rsid w:val="445F7FB9"/>
    <w:rsid w:val="4468449B"/>
    <w:rsid w:val="446B2085"/>
    <w:rsid w:val="447E4FEB"/>
    <w:rsid w:val="448623F7"/>
    <w:rsid w:val="448C15B9"/>
    <w:rsid w:val="449B1E65"/>
    <w:rsid w:val="44D16FF4"/>
    <w:rsid w:val="44EA599F"/>
    <w:rsid w:val="45050ABD"/>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EF6F8D"/>
    <w:rsid w:val="46F6477A"/>
    <w:rsid w:val="47064A15"/>
    <w:rsid w:val="47220AC2"/>
    <w:rsid w:val="472A5ECE"/>
    <w:rsid w:val="472F2356"/>
    <w:rsid w:val="47380A67"/>
    <w:rsid w:val="47421E40"/>
    <w:rsid w:val="474B1C86"/>
    <w:rsid w:val="474E2C0B"/>
    <w:rsid w:val="47626028"/>
    <w:rsid w:val="47656FAD"/>
    <w:rsid w:val="47670FEE"/>
    <w:rsid w:val="47B76948"/>
    <w:rsid w:val="47B76DB7"/>
    <w:rsid w:val="47DD73E9"/>
    <w:rsid w:val="47E0217A"/>
    <w:rsid w:val="47E64083"/>
    <w:rsid w:val="480B0A3F"/>
    <w:rsid w:val="485F6737"/>
    <w:rsid w:val="486731C6"/>
    <w:rsid w:val="48775B70"/>
    <w:rsid w:val="487A2378"/>
    <w:rsid w:val="4891671A"/>
    <w:rsid w:val="48931F3C"/>
    <w:rsid w:val="48B05EC6"/>
    <w:rsid w:val="48F54240"/>
    <w:rsid w:val="48FE27EA"/>
    <w:rsid w:val="490152F9"/>
    <w:rsid w:val="49092EE1"/>
    <w:rsid w:val="490948F4"/>
    <w:rsid w:val="4942653E"/>
    <w:rsid w:val="49512C42"/>
    <w:rsid w:val="4966327A"/>
    <w:rsid w:val="496C5184"/>
    <w:rsid w:val="497E7EEE"/>
    <w:rsid w:val="49963DC9"/>
    <w:rsid w:val="499D5953"/>
    <w:rsid w:val="49A330DF"/>
    <w:rsid w:val="49A91765"/>
    <w:rsid w:val="49AB3298"/>
    <w:rsid w:val="49C16E0C"/>
    <w:rsid w:val="49C820BA"/>
    <w:rsid w:val="4A152119"/>
    <w:rsid w:val="4A1C3CA2"/>
    <w:rsid w:val="4A5B32E8"/>
    <w:rsid w:val="4A7346B1"/>
    <w:rsid w:val="4A7843BC"/>
    <w:rsid w:val="4A8017C9"/>
    <w:rsid w:val="4A8E6560"/>
    <w:rsid w:val="4AA13287"/>
    <w:rsid w:val="4AC12232"/>
    <w:rsid w:val="4AC72371"/>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BB6CE0"/>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9F5BD3"/>
    <w:rsid w:val="4FFD5B90"/>
    <w:rsid w:val="50651CDA"/>
    <w:rsid w:val="50B4121E"/>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A705E0"/>
    <w:rsid w:val="54C02717"/>
    <w:rsid w:val="54C620A2"/>
    <w:rsid w:val="54D21907"/>
    <w:rsid w:val="54E028C4"/>
    <w:rsid w:val="54FA15F8"/>
    <w:rsid w:val="54FF3501"/>
    <w:rsid w:val="55023A07"/>
    <w:rsid w:val="550F159D"/>
    <w:rsid w:val="552B7848"/>
    <w:rsid w:val="55373232"/>
    <w:rsid w:val="55401D6C"/>
    <w:rsid w:val="55454EF7"/>
    <w:rsid w:val="555723A7"/>
    <w:rsid w:val="55867A33"/>
    <w:rsid w:val="55893465"/>
    <w:rsid w:val="55922A70"/>
    <w:rsid w:val="55B1434A"/>
    <w:rsid w:val="55C4510D"/>
    <w:rsid w:val="55CC73D2"/>
    <w:rsid w:val="55D53D83"/>
    <w:rsid w:val="56037691"/>
    <w:rsid w:val="5604532D"/>
    <w:rsid w:val="561577C6"/>
    <w:rsid w:val="561B4F52"/>
    <w:rsid w:val="56226ADC"/>
    <w:rsid w:val="56257A60"/>
    <w:rsid w:val="5632548A"/>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512008"/>
    <w:rsid w:val="5B690A8E"/>
    <w:rsid w:val="5B7F079B"/>
    <w:rsid w:val="5B895639"/>
    <w:rsid w:val="5B914F79"/>
    <w:rsid w:val="5B9723D0"/>
    <w:rsid w:val="5B9E1D5B"/>
    <w:rsid w:val="5C0A490D"/>
    <w:rsid w:val="5C1761A2"/>
    <w:rsid w:val="5C576F8B"/>
    <w:rsid w:val="5C7774C0"/>
    <w:rsid w:val="5CD37BDA"/>
    <w:rsid w:val="5CD4565B"/>
    <w:rsid w:val="5CEA77FF"/>
    <w:rsid w:val="5CF27722"/>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04304"/>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413D11"/>
    <w:rsid w:val="67673E36"/>
    <w:rsid w:val="6767412F"/>
    <w:rsid w:val="67A7359A"/>
    <w:rsid w:val="67C32ECB"/>
    <w:rsid w:val="67C718D1"/>
    <w:rsid w:val="67E36C7A"/>
    <w:rsid w:val="680726BA"/>
    <w:rsid w:val="68213264"/>
    <w:rsid w:val="682A438F"/>
    <w:rsid w:val="68344483"/>
    <w:rsid w:val="68503DB3"/>
    <w:rsid w:val="68624F20"/>
    <w:rsid w:val="6870183D"/>
    <w:rsid w:val="688776DE"/>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0E4B76"/>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1B63AC"/>
    <w:rsid w:val="6E6D460A"/>
    <w:rsid w:val="6EB56FB1"/>
    <w:rsid w:val="6F085736"/>
    <w:rsid w:val="6F2F55F5"/>
    <w:rsid w:val="6F306560"/>
    <w:rsid w:val="6F663E02"/>
    <w:rsid w:val="6FA974BD"/>
    <w:rsid w:val="6FBA1D55"/>
    <w:rsid w:val="6FE67322"/>
    <w:rsid w:val="701D527E"/>
    <w:rsid w:val="70231C25"/>
    <w:rsid w:val="704F6D52"/>
    <w:rsid w:val="70625B7B"/>
    <w:rsid w:val="70876EAC"/>
    <w:rsid w:val="70C1323B"/>
    <w:rsid w:val="70F10AD9"/>
    <w:rsid w:val="71255AB0"/>
    <w:rsid w:val="71465FE5"/>
    <w:rsid w:val="7150308A"/>
    <w:rsid w:val="71597204"/>
    <w:rsid w:val="717B0243"/>
    <w:rsid w:val="719C3171"/>
    <w:rsid w:val="71A670BA"/>
    <w:rsid w:val="71AF2191"/>
    <w:rsid w:val="71C233B0"/>
    <w:rsid w:val="71D545CF"/>
    <w:rsid w:val="71F21981"/>
    <w:rsid w:val="71FB480F"/>
    <w:rsid w:val="722A1ADB"/>
    <w:rsid w:val="723C16E9"/>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E71522"/>
    <w:rsid w:val="76F04D5F"/>
    <w:rsid w:val="77276A0B"/>
    <w:rsid w:val="77311518"/>
    <w:rsid w:val="777E4E9B"/>
    <w:rsid w:val="77D67AA8"/>
    <w:rsid w:val="77FE53E9"/>
    <w:rsid w:val="7843265A"/>
    <w:rsid w:val="78913A5E"/>
    <w:rsid w:val="78E8551F"/>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7"/>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2"/>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0"/>
    <w:qFormat/>
    <w:uiPriority w:val="0"/>
    <w:pPr>
      <w:ind w:firstLine="630"/>
    </w:pPr>
    <w:rPr>
      <w:rFonts w:ascii="Times New Roman"/>
      <w:kern w:val="2"/>
      <w:sz w:val="32"/>
    </w:rPr>
  </w:style>
  <w:style w:type="paragraph" w:styleId="10">
    <w:name w:val="Plain Text"/>
    <w:basedOn w:val="1"/>
    <w:link w:val="49"/>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Body Text Indent 3"/>
    <w:basedOn w:val="1"/>
    <w:qFormat/>
    <w:uiPriority w:val="0"/>
    <w:pPr>
      <w:spacing w:after="120"/>
      <w:ind w:left="420" w:leftChars="200"/>
    </w:pPr>
    <w:rPr>
      <w:rFonts w:ascii="Times New Roman"/>
      <w:sz w:val="16"/>
      <w:szCs w:val="16"/>
    </w:rPr>
  </w:style>
  <w:style w:type="paragraph" w:styleId="17">
    <w:name w:val="toc 2"/>
    <w:basedOn w:val="1"/>
    <w:next w:val="1"/>
    <w:qFormat/>
    <w:uiPriority w:val="0"/>
    <w:pPr>
      <w:ind w:left="420" w:leftChars="200"/>
    </w:pPr>
    <w:rPr>
      <w:rFonts w:ascii="Times New Roman"/>
    </w:rPr>
  </w:style>
  <w:style w:type="paragraph" w:styleId="18">
    <w:name w:val="Body Text 2"/>
    <w:basedOn w:val="1"/>
    <w:qFormat/>
    <w:uiPriority w:val="0"/>
    <w:pPr>
      <w:spacing w:line="480" w:lineRule="auto"/>
    </w:pPr>
    <w:rPr>
      <w:rFonts w:ascii="Times New Roman"/>
    </w:r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qFormat/>
    <w:uiPriority w:val="0"/>
    <w:rPr>
      <w:rFonts w:ascii="Arial" w:hAnsi="Arial" w:eastAsia="宋体" w:cs="Arial"/>
      <w:color w:val="007CD2"/>
      <w:sz w:val="24"/>
      <w:szCs w:val="24"/>
      <w:u w:val="none"/>
    </w:rPr>
  </w:style>
  <w:style w:type="character" w:styleId="26">
    <w:name w:val="Hyperlink"/>
    <w:qFormat/>
    <w:uiPriority w:val="0"/>
    <w:rPr>
      <w:rFonts w:ascii="Times New Roman" w:hAnsi="Times New Roman" w:eastAsia="宋体" w:cs="Times New Roman"/>
      <w:color w:val="0000FF"/>
      <w:u w:val="single"/>
    </w:rPr>
  </w:style>
  <w:style w:type="character" w:styleId="27">
    <w:name w:val="annotation reference"/>
    <w:qFormat/>
    <w:uiPriority w:val="0"/>
    <w:rPr>
      <w:rFonts w:cs="Times New Roman"/>
      <w:sz w:val="21"/>
      <w:szCs w:val="21"/>
    </w:rPr>
  </w:style>
  <w:style w:type="paragraph" w:customStyle="1" w:styleId="28">
    <w:name w:val="标题 5（有编号）（绿盟科技）"/>
    <w:basedOn w:val="1"/>
    <w:next w:val="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0">
    <w:name w:val="font31"/>
    <w:qFormat/>
    <w:uiPriority w:val="0"/>
    <w:rPr>
      <w:rFonts w:hint="eastAsia" w:ascii="宋体" w:hAnsi="宋体" w:eastAsia="宋体" w:cs="宋体"/>
      <w:b/>
      <w:color w:val="000000"/>
      <w:sz w:val="22"/>
      <w:szCs w:val="22"/>
      <w:u w:val="none"/>
    </w:rPr>
  </w:style>
  <w:style w:type="character" w:customStyle="1" w:styleId="31">
    <w:name w:val="style1"/>
    <w:qFormat/>
    <w:uiPriority w:val="0"/>
    <w:rPr>
      <w:rFonts w:ascii="Times New Roman" w:hAnsi="Times New Roman" w:eastAsia="宋体" w:cs="Times New Roman"/>
    </w:rPr>
  </w:style>
  <w:style w:type="character" w:customStyle="1" w:styleId="32">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3">
    <w:name w:val="apple-converted-space"/>
    <w:qFormat/>
    <w:uiPriority w:val="0"/>
    <w:rPr>
      <w:rFonts w:ascii="Times New Roman" w:hAnsi="Times New Roman" w:eastAsia="宋体" w:cs="Times New Roman"/>
    </w:rPr>
  </w:style>
  <w:style w:type="character" w:customStyle="1" w:styleId="34">
    <w:name w:val="font81"/>
    <w:qFormat/>
    <w:uiPriority w:val="0"/>
    <w:rPr>
      <w:rFonts w:hint="eastAsia" w:ascii="宋体" w:hAnsi="宋体" w:eastAsia="宋体" w:cs="宋体"/>
      <w:b/>
      <w:color w:val="000000"/>
      <w:sz w:val="22"/>
      <w:szCs w:val="22"/>
      <w:u w:val="none"/>
    </w:rPr>
  </w:style>
  <w:style w:type="character" w:customStyle="1" w:styleId="35">
    <w:name w:val="tdrownotice1"/>
    <w:qFormat/>
    <w:uiPriority w:val="0"/>
    <w:rPr>
      <w:rFonts w:hint="default" w:ascii="Times New Roman" w:hAnsi="Times New Roman" w:eastAsia="宋体" w:cs="Times New Roman"/>
      <w:sz w:val="22"/>
    </w:rPr>
  </w:style>
  <w:style w:type="character" w:customStyle="1" w:styleId="36">
    <w:name w:val="表正文 Char1"/>
    <w:qFormat/>
    <w:uiPriority w:val="0"/>
    <w:rPr>
      <w:rFonts w:ascii="Times New Roman" w:hAnsi="Times New Roman" w:eastAsia="宋体" w:cs="Times New Roman"/>
      <w:kern w:val="2"/>
      <w:sz w:val="21"/>
      <w:szCs w:val="24"/>
      <w:lang w:val="en-US" w:eastAsia="zh-CN" w:bidi="ar-SA"/>
    </w:rPr>
  </w:style>
  <w:style w:type="character" w:customStyle="1" w:styleId="37">
    <w:name w:val="font61"/>
    <w:qFormat/>
    <w:uiPriority w:val="0"/>
    <w:rPr>
      <w:rFonts w:hint="eastAsia" w:ascii="微软雅黑" w:hAnsi="微软雅黑" w:eastAsia="微软雅黑" w:cs="微软雅黑"/>
      <w:b/>
      <w:color w:val="000000"/>
      <w:sz w:val="22"/>
      <w:szCs w:val="22"/>
      <w:u w:val="none"/>
    </w:rPr>
  </w:style>
  <w:style w:type="character" w:customStyle="1" w:styleId="38">
    <w:name w:val="font71"/>
    <w:qFormat/>
    <w:uiPriority w:val="0"/>
    <w:rPr>
      <w:rFonts w:hint="eastAsia" w:ascii="宋体" w:hAnsi="宋体" w:eastAsia="宋体" w:cs="宋体"/>
      <w:color w:val="000000"/>
      <w:sz w:val="20"/>
      <w:szCs w:val="20"/>
      <w:u w:val="none"/>
    </w:rPr>
  </w:style>
  <w:style w:type="character" w:customStyle="1" w:styleId="39">
    <w:name w:val="font01"/>
    <w:qFormat/>
    <w:uiPriority w:val="0"/>
    <w:rPr>
      <w:rFonts w:hint="eastAsia" w:ascii="宋体" w:hAnsi="宋体" w:eastAsia="宋体" w:cs="宋体"/>
      <w:i/>
      <w:color w:val="000000"/>
      <w:sz w:val="20"/>
      <w:szCs w:val="20"/>
      <w:u w:val="none"/>
    </w:rPr>
  </w:style>
  <w:style w:type="character" w:customStyle="1" w:styleId="40">
    <w:name w:val="正文文本缩进 字符"/>
    <w:link w:val="9"/>
    <w:qFormat/>
    <w:uiPriority w:val="0"/>
    <w:rPr>
      <w:rFonts w:ascii="Times New Roman" w:hAnsi="Times New Roman" w:eastAsia="宋体" w:cs="Times New Roman"/>
      <w:kern w:val="2"/>
      <w:sz w:val="32"/>
      <w:lang w:val="en-US" w:eastAsia="zh-CN" w:bidi="ar-SA"/>
    </w:rPr>
  </w:style>
  <w:style w:type="character" w:customStyle="1" w:styleId="41">
    <w:name w:val="页码1"/>
    <w:qFormat/>
    <w:uiPriority w:val="0"/>
    <w:rPr>
      <w:rFonts w:ascii="Times New Roman" w:hAnsi="Times New Roman" w:eastAsia="宋体" w:cs="Times New Roman"/>
    </w:rPr>
  </w:style>
  <w:style w:type="character" w:customStyle="1" w:styleId="42">
    <w:name w:val="font41"/>
    <w:qFormat/>
    <w:uiPriority w:val="0"/>
    <w:rPr>
      <w:rFonts w:hint="eastAsia" w:ascii="宋体" w:hAnsi="宋体" w:eastAsia="宋体" w:cs="宋体"/>
      <w:color w:val="000000"/>
      <w:sz w:val="24"/>
      <w:szCs w:val="24"/>
      <w:u w:val="none"/>
    </w:rPr>
  </w:style>
  <w:style w:type="character" w:customStyle="1" w:styleId="43">
    <w:name w:val="font111"/>
    <w:qFormat/>
    <w:uiPriority w:val="0"/>
    <w:rPr>
      <w:rFonts w:hint="eastAsia" w:ascii="宋体" w:hAnsi="宋体" w:eastAsia="宋体" w:cs="宋体"/>
      <w:b/>
      <w:color w:val="000000"/>
      <w:sz w:val="32"/>
      <w:szCs w:val="32"/>
      <w:u w:val="none"/>
    </w:rPr>
  </w:style>
  <w:style w:type="character" w:customStyle="1" w:styleId="44">
    <w:name w:val="（符号）邀请函中一、"/>
    <w:qFormat/>
    <w:uiPriority w:val="0"/>
    <w:rPr>
      <w:rFonts w:ascii="黑体" w:hAnsi="黑体" w:eastAsia="黑体" w:cs="Times New Roman"/>
      <w:b/>
      <w:bCs/>
      <w:sz w:val="24"/>
    </w:rPr>
  </w:style>
  <w:style w:type="character" w:customStyle="1" w:styleId="45">
    <w:name w:val="font11"/>
    <w:qFormat/>
    <w:uiPriority w:val="0"/>
    <w:rPr>
      <w:rFonts w:hint="eastAsia" w:ascii="宋体" w:hAnsi="宋体" w:eastAsia="宋体" w:cs="宋体"/>
      <w:color w:val="000000"/>
      <w:sz w:val="24"/>
      <w:szCs w:val="24"/>
      <w:u w:val="none"/>
    </w:rPr>
  </w:style>
  <w:style w:type="character" w:customStyle="1" w:styleId="46">
    <w:name w:val="font21"/>
    <w:qFormat/>
    <w:uiPriority w:val="0"/>
    <w:rPr>
      <w:rFonts w:hint="eastAsia" w:ascii="宋体" w:hAnsi="宋体" w:eastAsia="宋体" w:cs="宋体"/>
      <w:color w:val="000000"/>
      <w:sz w:val="20"/>
      <w:szCs w:val="20"/>
      <w:u w:val="none"/>
    </w:rPr>
  </w:style>
  <w:style w:type="character" w:customStyle="1" w:styleId="47">
    <w:name w:val="左对齐的表内文字 Char"/>
    <w:link w:val="48"/>
    <w:qFormat/>
    <w:uiPriority w:val="0"/>
    <w:rPr>
      <w:rFonts w:ascii="Times New Roman" w:hAnsi="Times New Roman" w:eastAsia="仿宋_GB2312" w:cs="Times New Roman"/>
      <w:kern w:val="2"/>
      <w:sz w:val="21"/>
      <w:lang w:bidi="ar-SA"/>
    </w:rPr>
  </w:style>
  <w:style w:type="paragraph" w:customStyle="1" w:styleId="48">
    <w:name w:val="左对齐的表内文字"/>
    <w:basedOn w:val="1"/>
    <w:link w:val="47"/>
    <w:qFormat/>
    <w:uiPriority w:val="0"/>
    <w:rPr>
      <w:rFonts w:ascii="Times New Roman" w:eastAsia="仿宋_GB2312"/>
      <w:kern w:val="2"/>
      <w:sz w:val="21"/>
    </w:rPr>
  </w:style>
  <w:style w:type="character" w:customStyle="1" w:styleId="49">
    <w:name w:val="纯文本 字符"/>
    <w:link w:val="10"/>
    <w:qFormat/>
    <w:uiPriority w:val="0"/>
    <w:rPr>
      <w:rFonts w:ascii="宋体" w:hAnsi="Courier New" w:eastAsia="宋体" w:cs="Times New Roman"/>
      <w:kern w:val="2"/>
      <w:sz w:val="21"/>
      <w:lang w:val="en-US" w:eastAsia="zh-CN" w:bidi="ar-SA"/>
    </w:rPr>
  </w:style>
  <w:style w:type="paragraph" w:customStyle="1" w:styleId="50">
    <w:name w:val="_Style 3"/>
    <w:basedOn w:val="1"/>
    <w:qFormat/>
    <w:uiPriority w:val="34"/>
    <w:pPr>
      <w:ind w:firstLine="420" w:firstLineChars="200"/>
    </w:pPr>
  </w:style>
  <w:style w:type="paragraph" w:customStyle="1" w:styleId="51">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2">
    <w:name w:val="_Style 2"/>
    <w:basedOn w:val="1"/>
    <w:qFormat/>
    <w:uiPriority w:val="34"/>
    <w:pPr>
      <w:ind w:firstLine="420" w:firstLineChars="200"/>
    </w:pPr>
    <w:rPr>
      <w:rFonts w:ascii="Calibri"/>
    </w:rPr>
  </w:style>
  <w:style w:type="paragraph" w:customStyle="1" w:styleId="53">
    <w:name w:val="标准文本"/>
    <w:basedOn w:val="1"/>
    <w:qFormat/>
    <w:uiPriority w:val="0"/>
    <w:pPr>
      <w:spacing w:line="360" w:lineRule="auto"/>
      <w:ind w:firstLine="480" w:firstLineChars="200"/>
    </w:pPr>
    <w:rPr>
      <w:rFonts w:ascii="Times New Roman" w:cs="宋体"/>
      <w:sz w:val="24"/>
    </w:rPr>
  </w:style>
  <w:style w:type="paragraph" w:customStyle="1" w:styleId="54">
    <w:name w:val="正文缩进3"/>
    <w:basedOn w:val="1"/>
    <w:qFormat/>
    <w:uiPriority w:val="0"/>
    <w:pPr>
      <w:autoSpaceDE w:val="0"/>
      <w:autoSpaceDN w:val="0"/>
      <w:adjustRightInd w:val="0"/>
      <w:ind w:firstLine="420"/>
    </w:pPr>
    <w:rPr>
      <w:rFonts w:ascii="Times New Roman"/>
      <w:szCs w:val="21"/>
    </w:rPr>
  </w:style>
  <w:style w:type="paragraph" w:customStyle="1" w:styleId="55">
    <w:name w:val="表格"/>
    <w:basedOn w:val="1"/>
    <w:qFormat/>
    <w:uiPriority w:val="0"/>
    <w:pPr>
      <w:spacing w:line="400" w:lineRule="exact"/>
    </w:pPr>
    <w:rPr>
      <w:rFonts w:ascii="Times New Roman"/>
      <w:sz w:val="24"/>
    </w:rPr>
  </w:style>
  <w:style w:type="paragraph" w:styleId="56">
    <w:name w:val="List Paragraph"/>
    <w:basedOn w:val="1"/>
    <w:qFormat/>
    <w:uiPriority w:val="0"/>
    <w:pPr>
      <w:ind w:firstLine="420" w:firstLineChars="200"/>
    </w:pPr>
    <w:rPr>
      <w:rFonts w:ascii="Times New Roman"/>
      <w:sz w:val="18"/>
      <w:szCs w:val="18"/>
    </w:rPr>
  </w:style>
  <w:style w:type="paragraph" w:customStyle="1" w:styleId="57">
    <w:name w:val="Char1 Char Char Char"/>
    <w:basedOn w:val="1"/>
    <w:qFormat/>
    <w:uiPriority w:val="0"/>
    <w:rPr>
      <w:rFonts w:ascii="Times New Roman" w:eastAsia="仿宋_GB2312"/>
      <w:sz w:val="28"/>
    </w:rPr>
  </w:style>
  <w:style w:type="paragraph" w:customStyle="1" w:styleId="58">
    <w:name w:val="正文首行缩进两字符"/>
    <w:basedOn w:val="1"/>
    <w:qFormat/>
    <w:uiPriority w:val="0"/>
    <w:pPr>
      <w:spacing w:line="360" w:lineRule="auto"/>
      <w:ind w:firstLine="200" w:firstLineChars="200"/>
    </w:pPr>
    <w:rPr>
      <w:rFonts w:ascii="Times New Roman"/>
    </w:rPr>
  </w:style>
  <w:style w:type="paragraph" w:customStyle="1" w:styleId="59">
    <w:name w:val="Body Text 22"/>
    <w:basedOn w:val="1"/>
    <w:qFormat/>
    <w:uiPriority w:val="0"/>
    <w:pPr>
      <w:adjustRightInd w:val="0"/>
      <w:spacing w:line="300" w:lineRule="auto"/>
      <w:jc w:val="center"/>
      <w:textAlignment w:val="baseline"/>
    </w:pPr>
    <w:rPr>
      <w:rFonts w:hAnsi="宋体"/>
      <w:sz w:val="24"/>
    </w:rPr>
  </w:style>
  <w:style w:type="paragraph" w:customStyle="1" w:styleId="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1">
    <w:name w:val="列出段落1"/>
    <w:basedOn w:val="1"/>
    <w:qFormat/>
    <w:uiPriority w:val="0"/>
    <w:pPr>
      <w:ind w:firstLine="420" w:firstLineChars="200"/>
    </w:pPr>
    <w:rPr>
      <w:rFonts w:ascii="Times New Roman"/>
    </w:rPr>
  </w:style>
  <w:style w:type="paragraph" w:customStyle="1" w:styleId="62">
    <w:name w:val="p0"/>
    <w:basedOn w:val="1"/>
    <w:qFormat/>
    <w:uiPriority w:val="0"/>
    <w:pPr>
      <w:widowControl/>
    </w:pPr>
    <w:rPr>
      <w:rFonts w:ascii="Times New Roman"/>
      <w:szCs w:val="21"/>
    </w:rPr>
  </w:style>
  <w:style w:type="paragraph" w:customStyle="1" w:styleId="63">
    <w:name w:val="左对齐的表内文字1"/>
    <w:basedOn w:val="1"/>
    <w:qFormat/>
    <w:uiPriority w:val="0"/>
    <w:rPr>
      <w:rFonts w:ascii="Times New Roman"/>
    </w:rPr>
  </w:style>
  <w:style w:type="paragraph" w:customStyle="1" w:styleId="64">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5">
    <w:name w:val="List Paragraph1"/>
    <w:basedOn w:val="1"/>
    <w:qFormat/>
    <w:uiPriority w:val="99"/>
    <w:pPr>
      <w:ind w:firstLine="420" w:firstLineChars="200"/>
    </w:pPr>
    <w:rPr>
      <w:rFonts w:ascii="Times New Roman"/>
      <w:szCs w:val="34"/>
    </w:rPr>
  </w:style>
  <w:style w:type="paragraph" w:customStyle="1" w:styleId="66">
    <w:name w:val="0"/>
    <w:qFormat/>
    <w:uiPriority w:val="0"/>
    <w:pPr>
      <w:snapToGrid w:val="0"/>
    </w:pPr>
    <w:rPr>
      <w:rFonts w:ascii="Calibri" w:hAnsi="Calibri" w:eastAsia="宋体" w:cs="Times New Roman"/>
      <w:lang w:val="en-US" w:eastAsia="zh-CN" w:bidi="ar-SA"/>
    </w:rPr>
  </w:style>
  <w:style w:type="paragraph" w:customStyle="1" w:styleId="67">
    <w:name w:val="pa-8"/>
    <w:basedOn w:val="1"/>
    <w:qFormat/>
    <w:uiPriority w:val="0"/>
    <w:pPr>
      <w:widowControl/>
      <w:spacing w:before="150" w:after="150"/>
      <w:jc w:val="left"/>
    </w:pPr>
    <w:rPr>
      <w:rFonts w:hAnsi="宋体" w:cs="宋体"/>
      <w:sz w:val="24"/>
      <w:szCs w:val="24"/>
    </w:rPr>
  </w:style>
  <w:style w:type="paragraph" w:customStyle="1" w:styleId="68">
    <w:name w:val="+正文"/>
    <w:basedOn w:val="1"/>
    <w:qFormat/>
    <w:uiPriority w:val="0"/>
    <w:pPr>
      <w:spacing w:line="360" w:lineRule="auto"/>
      <w:ind w:firstLine="200" w:firstLineChars="200"/>
    </w:pPr>
    <w:rPr>
      <w:rFonts w:ascii="Times New Roman" w:eastAsia="楷体_GB2312"/>
      <w:szCs w:val="28"/>
    </w:rPr>
  </w:style>
  <w:style w:type="paragraph" w:styleId="6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0">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1">
    <w:name w:val="样式 首行缩进:  2 字符"/>
    <w:basedOn w:val="1"/>
    <w:qFormat/>
    <w:uiPriority w:val="0"/>
    <w:pPr>
      <w:spacing w:line="400" w:lineRule="exact"/>
      <w:ind w:firstLine="200" w:firstLineChars="200"/>
    </w:pPr>
    <w:rPr>
      <w:rFonts w:ascii="Times New Roman" w:cs="宋体"/>
      <w:sz w:val="24"/>
    </w:rPr>
  </w:style>
  <w:style w:type="paragraph" w:customStyle="1" w:styleId="72">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3">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4">
    <w:name w:val="首行缩进"/>
    <w:basedOn w:val="1"/>
    <w:qFormat/>
    <w:uiPriority w:val="99"/>
    <w:pPr>
      <w:spacing w:line="360" w:lineRule="auto"/>
      <w:ind w:firstLine="480" w:firstLineChars="200"/>
      <w:jc w:val="left"/>
    </w:pPr>
    <w:rPr>
      <w:rFonts w:hAnsi="宋体"/>
      <w:sz w:val="24"/>
    </w:rPr>
  </w:style>
  <w:style w:type="paragraph" w:customStyle="1" w:styleId="75">
    <w:name w:val="正文 A"/>
    <w:next w:val="76"/>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6">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77">
    <w:name w:val="正文首行缩进 2 字符"/>
    <w:basedOn w:val="40"/>
    <w:link w:val="2"/>
    <w:qFormat/>
    <w:uiPriority w:val="0"/>
    <w:rPr>
      <w:rFonts w:ascii="宋体" w:hAnsi="Calibri" w:eastAsia="宋体" w:cs="Times New Roman"/>
      <w:kern w:val="2"/>
      <w:sz w:val="34"/>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29</Pages>
  <Words>13863</Words>
  <Characters>14674</Characters>
  <Lines>113</Lines>
  <Paragraphs>32</Paragraphs>
  <TotalTime>190</TotalTime>
  <ScaleCrop>false</ScaleCrop>
  <LinksUpToDate>false</LinksUpToDate>
  <CharactersWithSpaces>15148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2022-07-26T04:53:00Z</cp:lastPrinted>
  <dcterms:modified xsi:type="dcterms:W3CDTF">2022-08-29T02:55:33Z</dcterms:modified>
  <dc:title>招标编号：SCSZ-2013-02</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E7558D7948BD46B49D504D1EAC59F27E</vt:lpwstr>
  </property>
</Properties>
</file>