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int="eastAsia" w:hAnsi="宋体"/>
          <w:color w:val="000000"/>
          <w:sz w:val="36"/>
          <w:szCs w:val="36"/>
        </w:rPr>
      </w:pPr>
    </w:p>
    <w:p>
      <w:pPr>
        <w:snapToGrid w:val="0"/>
        <w:spacing w:line="360" w:lineRule="auto"/>
        <w:ind w:firstLine="3240" w:firstLineChars="900"/>
        <w:jc w:val="both"/>
        <w:rPr>
          <w:rFonts w:hint="eastAsia" w:hAnsi="宋体" w:eastAsia="宋体" w:cs="宋体"/>
          <w:bCs/>
          <w:sz w:val="36"/>
          <w:szCs w:val="36"/>
          <w:lang w:eastAsia="zh-CN"/>
        </w:rPr>
      </w:pPr>
      <w:r>
        <w:rPr>
          <w:rFonts w:hint="eastAsia" w:hAnsi="宋体" w:cs="宋体"/>
          <w:bCs/>
          <w:sz w:val="36"/>
          <w:szCs w:val="36"/>
          <w:lang w:eastAsia="zh-CN"/>
        </w:rPr>
        <w:t>经管学院</w:t>
      </w:r>
      <w:r>
        <w:rPr>
          <w:rFonts w:hint="eastAsia" w:hAnsi="宋体" w:cs="宋体"/>
          <w:bCs/>
          <w:sz w:val="36"/>
          <w:szCs w:val="36"/>
          <w:lang w:val="en-US" w:eastAsia="zh-CN"/>
        </w:rPr>
        <w:t>SPOC课程建设</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w:t>
      </w:r>
      <w:r>
        <w:rPr>
          <w:rFonts w:hint="eastAsia" w:hAnsi="宋体" w:cs="宋体"/>
          <w:bCs/>
          <w:sz w:val="30"/>
          <w:szCs w:val="30"/>
          <w:lang w:val="en-US" w:eastAsia="zh-CN"/>
        </w:rPr>
        <w:t>TZY-ZB-2022032</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hint="eastAsia" w:eastAsia="宋体" w:cs="宋体"/>
          <w:sz w:val="30"/>
          <w:szCs w:val="30"/>
          <w:lang w:eastAsia="zh-CN"/>
        </w:rPr>
      </w:pPr>
      <w:r>
        <w:rPr>
          <w:rFonts w:hint="eastAsia" w:cs="宋体"/>
          <w:sz w:val="30"/>
          <w:szCs w:val="30"/>
        </w:rPr>
        <w:t xml:space="preserve">采   购   人: </w:t>
      </w:r>
      <w:r>
        <w:rPr>
          <w:rFonts w:hint="eastAsia" w:cs="宋体"/>
          <w:sz w:val="30"/>
          <w:szCs w:val="30"/>
          <w:lang w:eastAsia="zh-CN"/>
        </w:rPr>
        <w:t>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lang w:val="en-US" w:eastAsia="zh-CN"/>
        </w:rPr>
        <w:t>2022</w:t>
      </w:r>
      <w:r>
        <w:rPr>
          <w:rFonts w:hint="eastAsia" w:hAnsi="宋体" w:cs="宋体"/>
          <w:bCs/>
          <w:sz w:val="30"/>
          <w:szCs w:val="30"/>
          <w:lang w:val="zh-CN"/>
        </w:rPr>
        <w:t>年</w:t>
      </w:r>
      <w:r>
        <w:rPr>
          <w:rFonts w:hint="eastAsia" w:hAnsi="宋体" w:cs="宋体"/>
          <w:bCs/>
          <w:sz w:val="30"/>
          <w:szCs w:val="30"/>
          <w:lang w:val="en-US" w:eastAsia="zh-CN"/>
        </w:rPr>
        <w:t xml:space="preserve"> 11 </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7"/>
          <w:rFonts w:ascii="宋体" w:hAnsi="宋体" w:cs="宋体"/>
          <w:color w:val="auto"/>
          <w:kern w:val="2"/>
          <w:sz w:val="44"/>
          <w:szCs w:val="44"/>
          <w:u w:val="none"/>
        </w:rPr>
      </w:pPr>
      <w:r>
        <w:rPr>
          <w:rStyle w:val="27"/>
          <w:rFonts w:hint="eastAsia" w:ascii="宋体" w:hAnsi="宋体" w:cs="宋体"/>
          <w:color w:val="auto"/>
          <w:kern w:val="2"/>
          <w:sz w:val="44"/>
          <w:szCs w:val="44"/>
          <w:u w:val="none"/>
        </w:rPr>
        <w:t>目    录</w:t>
      </w:r>
    </w:p>
    <w:p/>
    <w:p>
      <w:pPr>
        <w:pStyle w:val="16"/>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lang w:val="en-US" w:eastAsia="zh-CN"/>
        </w:rPr>
        <w:t>1</w:t>
      </w:r>
      <w:r>
        <w:rPr>
          <w:rFonts w:hint="eastAsia" w:hAnsi="宋体" w:cs="宋体"/>
          <w:sz w:val="28"/>
          <w:szCs w:val="28"/>
        </w:rPr>
        <w:fldChar w:fldCharType="end"/>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2</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8</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4</w:t>
      </w:r>
    </w:p>
    <w:p>
      <w:pPr>
        <w:pStyle w:val="16"/>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19"/>
      <w:bookmarkStart w:id="3" w:name="_Hlt360036320"/>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lang w:val="en-US" w:eastAsia="zh-CN"/>
        </w:rPr>
        <w:t>25</w:t>
      </w:r>
    </w:p>
    <w:p>
      <w:pPr>
        <w:pStyle w:val="16"/>
        <w:tabs>
          <w:tab w:val="right" w:leader="dot" w:pos="9175"/>
        </w:tabs>
        <w:snapToGrid w:val="0"/>
        <w:spacing w:line="480" w:lineRule="auto"/>
        <w:ind w:firstLine="792" w:firstLineChars="233"/>
        <w:rPr>
          <w:rFonts w:hint="default" w:hAnsi="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lang w:val="en-US" w:eastAsia="zh-CN"/>
        </w:rPr>
        <w:t>26</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854"/>
        </w:tabs>
        <w:bidi w:val="0"/>
        <w:jc w:val="left"/>
        <w:rPr>
          <w:rFonts w:hint="default"/>
          <w:lang w:val="en-US" w:eastAsia="zh-CN"/>
        </w:rPr>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lang w:val="en-US" w:eastAsia="zh-CN"/>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jc w:val="both"/>
        <w:rPr>
          <w:rFonts w:ascii="仿宋_GB2312" w:hAnsi="宋体" w:eastAsia="仿宋_GB2312"/>
          <w:sz w:val="28"/>
        </w:rPr>
      </w:pPr>
      <w:r>
        <w:rPr>
          <w:rFonts w:hint="eastAsia" w:hAnsi="宋体" w:cs="宋体"/>
          <w:bCs/>
          <w:sz w:val="24"/>
          <w:szCs w:val="24"/>
          <w:u w:val="single"/>
        </w:rPr>
        <w:t xml:space="preserve"> </w:t>
      </w:r>
      <w:r>
        <w:rPr>
          <w:rFonts w:hint="eastAsia" w:hAnsi="宋体" w:cs="宋体"/>
          <w:bCs/>
          <w:sz w:val="24"/>
          <w:szCs w:val="24"/>
          <w:u w:val="single"/>
          <w:lang w:eastAsia="zh-CN"/>
        </w:rPr>
        <w:t>四川铁道职业学院</w:t>
      </w:r>
      <w:r>
        <w:rPr>
          <w:rFonts w:hint="eastAsia" w:hAnsi="宋体" w:cs="宋体"/>
          <w:bCs/>
          <w:sz w:val="24"/>
          <w:szCs w:val="24"/>
        </w:rPr>
        <w:t>就</w:t>
      </w:r>
      <w:r>
        <w:rPr>
          <w:rFonts w:hint="eastAsia" w:hAnsi="宋体" w:cs="宋体"/>
          <w:bCs/>
          <w:sz w:val="24"/>
          <w:szCs w:val="24"/>
          <w:u w:val="single"/>
          <w:lang w:val="en-US" w:eastAsia="zh-CN"/>
        </w:rPr>
        <w:t xml:space="preserve"> 经管学院SPOC课程建设 </w:t>
      </w:r>
      <w:r>
        <w:rPr>
          <w:rFonts w:hint="eastAsia" w:hAnsi="宋体" w:cs="宋体"/>
          <w:bCs/>
          <w:sz w:val="24"/>
          <w:szCs w:val="24"/>
          <w:u w:val="none"/>
          <w:lang w:eastAsia="zh-CN"/>
        </w:rPr>
        <w:t>采购</w:t>
      </w:r>
      <w:r>
        <w:rPr>
          <w:rFonts w:hint="eastAsia" w:hAnsi="宋体" w:cs="宋体"/>
          <w:bCs/>
          <w:sz w:val="24"/>
          <w:szCs w:val="24"/>
          <w:u w:val="none"/>
          <w:lang w:val="en-US" w:eastAsia="zh-CN"/>
        </w:rPr>
        <w:t>项目</w:t>
      </w:r>
      <w:r>
        <w:rPr>
          <w:rFonts w:hint="eastAsia" w:hAnsi="宋体" w:cs="宋体"/>
          <w:bCs/>
          <w:sz w:val="24"/>
          <w:szCs w:val="24"/>
        </w:rPr>
        <w:t>进行公开招标，兹邀请符合本次招标要求的供应商参加投标</w:t>
      </w:r>
      <w:r>
        <w:rPr>
          <w:rFonts w:hint="eastAsia" w:hAnsi="宋体" w:cs="宋体"/>
          <w:sz w:val="24"/>
          <w:szCs w:val="24"/>
        </w:rPr>
        <w:t>。</w:t>
      </w:r>
    </w:p>
    <w:p>
      <w:pPr>
        <w:pStyle w:val="10"/>
        <w:numPr>
          <w:ilvl w:val="0"/>
          <w:numId w:val="2"/>
        </w:numPr>
        <w:snapToGrid w:val="0"/>
        <w:spacing w:line="360" w:lineRule="auto"/>
        <w:ind w:firstLine="441" w:firstLineChars="183"/>
        <w:rPr>
          <w:rFonts w:hint="eastAsia"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lang w:val="en-US" w:eastAsia="zh-CN"/>
        </w:rPr>
        <w:t>TZY--ZB--2022032</w:t>
      </w:r>
    </w:p>
    <w:p>
      <w:pPr>
        <w:pStyle w:val="10"/>
        <w:numPr>
          <w:ilvl w:val="0"/>
          <w:numId w:val="2"/>
        </w:numPr>
        <w:snapToGrid w:val="0"/>
        <w:spacing w:line="360" w:lineRule="auto"/>
        <w:ind w:firstLine="441" w:firstLineChars="183"/>
        <w:rPr>
          <w:rFonts w:ascii="宋体" w:hAnsi="宋体" w:cs="宋体"/>
          <w:b w:val="0"/>
          <w:bCs/>
          <w:sz w:val="24"/>
          <w:szCs w:val="24"/>
          <w:lang w:val="zh-CN"/>
        </w:rPr>
      </w:pPr>
      <w:r>
        <w:rPr>
          <w:rFonts w:hint="eastAsia" w:ascii="宋体" w:hAnsi="宋体" w:cs="宋体"/>
          <w:b/>
          <w:sz w:val="24"/>
          <w:szCs w:val="24"/>
        </w:rPr>
        <w:t>招标项目：</w:t>
      </w:r>
      <w:r>
        <w:rPr>
          <w:rFonts w:hint="eastAsia" w:ascii="宋体" w:hAnsi="宋体" w:cs="宋体"/>
          <w:b/>
          <w:sz w:val="24"/>
          <w:szCs w:val="24"/>
          <w:lang w:eastAsia="zh-CN"/>
        </w:rPr>
        <w:t>经管学院</w:t>
      </w:r>
      <w:r>
        <w:rPr>
          <w:rFonts w:hint="eastAsia" w:ascii="宋体" w:hAnsi="宋体" w:cs="宋体"/>
          <w:b/>
          <w:sz w:val="24"/>
          <w:szCs w:val="24"/>
          <w:lang w:val="en-US" w:eastAsia="zh-CN"/>
        </w:rPr>
        <w:t>SPOC课程建设</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1.具有独立承担民事责任的能力；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2.具有良好的商业信誉和健全的财务会计制度；</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3.具有履行合同所必须的设备和专业技术能力；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4.具有依法缴纳税收和社会保障资金的良好记录；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5.参加本次采购活动前三年内，在经营活动中没有重大违法记录；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kern w:val="0"/>
          <w:sz w:val="24"/>
          <w:szCs w:val="22"/>
          <w:lang w:val="en-US" w:eastAsia="zh-CN"/>
        </w:rPr>
        <w:t>7</w:t>
      </w:r>
      <w:r>
        <w:rPr>
          <w:rFonts w:hint="eastAsia" w:ascii="宋体" w:hAnsi="宋体" w:cs="宋体"/>
          <w:kern w:val="0"/>
          <w:sz w:val="24"/>
          <w:szCs w:val="22"/>
        </w:rPr>
        <w:t>.本项目不接受联合体参与</w:t>
      </w:r>
      <w:r>
        <w:rPr>
          <w:rFonts w:hint="eastAsia" w:hAnsi="宋体" w:cs="宋体"/>
          <w:kern w:val="0"/>
          <w:sz w:val="24"/>
          <w:szCs w:val="22"/>
          <w:lang w:eastAsia="zh-CN"/>
        </w:rPr>
        <w:t>招标</w:t>
      </w:r>
      <w:r>
        <w:rPr>
          <w:rFonts w:hint="eastAsia" w:ascii="宋体" w:hAnsi="宋体" w:cs="宋体"/>
          <w:kern w:val="0"/>
          <w:sz w:val="24"/>
          <w:szCs w:val="22"/>
        </w:rPr>
        <w:t>。</w:t>
      </w:r>
    </w:p>
    <w:p>
      <w:pPr>
        <w:snapToGrid w:val="0"/>
        <w:spacing w:line="360" w:lineRule="auto"/>
        <w:ind w:firstLine="479" w:firstLineChars="199"/>
        <w:rPr>
          <w:rFonts w:hAnsi="宋体" w:cs="宋体"/>
          <w:sz w:val="24"/>
          <w:szCs w:val="24"/>
        </w:rPr>
      </w:pPr>
      <w:r>
        <w:rPr>
          <w:rFonts w:hint="eastAsia" w:hAnsi="宋体" w:cs="宋体"/>
          <w:b/>
          <w:sz w:val="24"/>
          <w:szCs w:val="24"/>
        </w:rPr>
        <w:t>六、投标截止时间和开标时间：</w:t>
      </w:r>
      <w:r>
        <w:rPr>
          <w:rFonts w:hint="eastAsia" w:hAnsi="宋体" w:cs="宋体"/>
          <w:b/>
          <w:sz w:val="24"/>
          <w:szCs w:val="24"/>
          <w:lang w:val="en-US" w:eastAsia="zh-CN"/>
        </w:rPr>
        <w:t xml:space="preserve">2022 </w:t>
      </w:r>
      <w:r>
        <w:rPr>
          <w:rFonts w:hint="eastAsia" w:hAnsi="宋体" w:cs="宋体"/>
          <w:bCs/>
          <w:sz w:val="24"/>
          <w:szCs w:val="24"/>
        </w:rPr>
        <w:t>年</w:t>
      </w:r>
      <w:r>
        <w:rPr>
          <w:rFonts w:hint="eastAsia" w:hAnsi="宋体" w:cs="宋体"/>
          <w:bCs/>
          <w:sz w:val="24"/>
          <w:szCs w:val="24"/>
          <w:lang w:val="en-US" w:eastAsia="zh-CN"/>
        </w:rPr>
        <w:t xml:space="preserve"> 11</w:t>
      </w:r>
      <w:r>
        <w:rPr>
          <w:rFonts w:hint="eastAsia" w:hAnsi="宋体" w:cs="宋体"/>
          <w:bCs/>
          <w:sz w:val="24"/>
          <w:szCs w:val="24"/>
        </w:rPr>
        <w:t>月</w:t>
      </w:r>
      <w:r>
        <w:rPr>
          <w:rFonts w:hint="eastAsia" w:hAnsi="宋体" w:cs="宋体"/>
          <w:bCs/>
          <w:sz w:val="24"/>
          <w:szCs w:val="24"/>
          <w:lang w:val="en-US" w:eastAsia="zh-CN"/>
        </w:rPr>
        <w:t xml:space="preserve"> 17 </w:t>
      </w:r>
      <w:r>
        <w:rPr>
          <w:rFonts w:hint="eastAsia" w:hAnsi="宋体" w:cs="宋体"/>
          <w:bCs/>
          <w:sz w:val="24"/>
          <w:szCs w:val="24"/>
        </w:rPr>
        <w:t>日</w:t>
      </w:r>
      <w:r>
        <w:rPr>
          <w:rFonts w:hint="eastAsia" w:hAnsi="宋体" w:cs="宋体"/>
          <w:bCs/>
          <w:sz w:val="24"/>
          <w:szCs w:val="24"/>
          <w:lang w:val="en-US" w:eastAsia="zh-CN"/>
        </w:rPr>
        <w:t xml:space="preserve"> 10:00  </w:t>
      </w:r>
      <w:r>
        <w:rPr>
          <w:rFonts w:hint="eastAsia" w:hAnsi="宋体" w:cs="宋体"/>
          <w:sz w:val="24"/>
          <w:szCs w:val="24"/>
        </w:rPr>
        <w:t>（北京时间）。</w:t>
      </w:r>
    </w:p>
    <w:p>
      <w:pPr>
        <w:pStyle w:val="10"/>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10"/>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特别说明：因疫情期间，为保证安全，请前来投标的商家戴好口罩，准备健康二维码，服从学校</w:t>
      </w:r>
      <w:r>
        <w:rPr>
          <w:rFonts w:hint="eastAsia" w:ascii="宋体" w:hAnsi="宋体" w:cs="宋体"/>
          <w:sz w:val="24"/>
          <w:szCs w:val="24"/>
          <w:lang w:eastAsia="zh-CN"/>
        </w:rPr>
        <w:t>疫情</w:t>
      </w:r>
      <w:r>
        <w:rPr>
          <w:rFonts w:hint="eastAsia" w:ascii="宋体" w:hAnsi="宋体" w:cs="宋体"/>
          <w:sz w:val="24"/>
          <w:szCs w:val="24"/>
        </w:rPr>
        <w:t>管理，做好个人防护。</w:t>
      </w:r>
    </w:p>
    <w:p>
      <w:pPr>
        <w:pStyle w:val="10"/>
        <w:snapToGrid w:val="0"/>
        <w:spacing w:line="360" w:lineRule="auto"/>
        <w:ind w:firstLine="482" w:firstLineChars="200"/>
        <w:rPr>
          <w:rFonts w:hint="default" w:ascii="宋体" w:hAnsi="宋体" w:eastAsia="宋体" w:cs="宋体"/>
          <w:sz w:val="24"/>
          <w:szCs w:val="24"/>
          <w:lang w:val="en-US" w:eastAsia="zh-CN"/>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hAnsi="宋体" w:cs="宋体"/>
          <w:sz w:val="24"/>
          <w:lang w:eastAsia="zh-CN"/>
        </w:rPr>
        <w:t>后勤基建办公区</w:t>
      </w:r>
      <w:r>
        <w:rPr>
          <w:rFonts w:hint="eastAsia" w:hAnsi="宋体" w:cs="宋体"/>
          <w:sz w:val="24"/>
          <w:lang w:val="en-US" w:eastAsia="zh-CN"/>
        </w:rPr>
        <w:t>2F开标室</w:t>
      </w:r>
    </w:p>
    <w:p>
      <w:pPr>
        <w:pStyle w:val="57"/>
        <w:snapToGrid w:val="0"/>
        <w:ind w:firstLine="479" w:firstLineChars="199"/>
        <w:rPr>
          <w:rFonts w:hAnsi="宋体" w:cs="宋体"/>
          <w:b/>
          <w:sz w:val="24"/>
          <w:szCs w:val="24"/>
        </w:rPr>
      </w:pPr>
      <w:r>
        <w:rPr>
          <w:rFonts w:hint="eastAsia" w:hAnsi="宋体" w:cs="宋体"/>
          <w:b/>
          <w:sz w:val="24"/>
          <w:szCs w:val="24"/>
        </w:rPr>
        <w:t>八、联系方式</w:t>
      </w:r>
    </w:p>
    <w:p>
      <w:pPr>
        <w:pStyle w:val="57"/>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7"/>
        <w:snapToGrid w:val="0"/>
        <w:ind w:firstLine="919" w:firstLineChars="383"/>
        <w:rPr>
          <w:rFonts w:hAnsi="宋体" w:cs="宋体"/>
          <w:sz w:val="24"/>
          <w:highlight w:val="yellow"/>
        </w:rPr>
      </w:pPr>
      <w:r>
        <w:rPr>
          <w:rFonts w:hint="eastAsia" w:hAnsi="宋体" w:cs="宋体"/>
          <w:bCs/>
          <w:sz w:val="24"/>
        </w:rPr>
        <w:t>地址：</w:t>
      </w:r>
      <w:r>
        <w:rPr>
          <w:rFonts w:hint="eastAsia" w:hAnsi="宋体" w:cs="宋体"/>
          <w:bCs/>
          <w:sz w:val="24"/>
          <w:lang w:val="en-US" w:eastAsia="zh-CN"/>
        </w:rPr>
        <w:t xml:space="preserve"> </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p>
    <w:p>
      <w:pPr>
        <w:pStyle w:val="57"/>
        <w:snapToGrid w:val="0"/>
        <w:ind w:firstLine="919" w:firstLineChars="383"/>
        <w:rPr>
          <w:rFonts w:hint="eastAsia" w:hAnsi="宋体" w:eastAsia="宋体" w:cs="宋体"/>
          <w:sz w:val="24"/>
          <w:lang w:eastAsia="zh-CN"/>
        </w:rPr>
      </w:pPr>
      <w:r>
        <w:rPr>
          <w:rFonts w:hint="eastAsia" w:hAnsi="宋体" w:cs="宋体"/>
          <w:sz w:val="24"/>
        </w:rPr>
        <w:t>联系人：</w:t>
      </w:r>
      <w:r>
        <w:rPr>
          <w:rFonts w:hint="eastAsia" w:hAnsi="宋体" w:cs="宋体"/>
          <w:sz w:val="24"/>
          <w:lang w:eastAsia="zh-CN"/>
        </w:rPr>
        <w:t>贺</w:t>
      </w:r>
      <w:r>
        <w:rPr>
          <w:rFonts w:hint="eastAsia" w:hAnsi="宋体" w:cs="宋体"/>
          <w:sz w:val="24"/>
        </w:rPr>
        <w:t>老师</w:t>
      </w:r>
      <w:r>
        <w:rPr>
          <w:rFonts w:hint="eastAsia" w:hAnsi="宋体" w:cs="宋体"/>
          <w:sz w:val="24"/>
          <w:lang w:eastAsia="zh-CN"/>
        </w:rPr>
        <w:t>、</w:t>
      </w:r>
      <w:r>
        <w:rPr>
          <w:rFonts w:hint="eastAsia" w:hAnsi="宋体" w:cs="宋体"/>
          <w:sz w:val="24"/>
          <w:lang w:val="en-US" w:eastAsia="zh-CN"/>
        </w:rPr>
        <w:t>李老师</w:t>
      </w:r>
      <w:r>
        <w:rPr>
          <w:rFonts w:hint="eastAsia" w:hAnsi="宋体" w:cs="宋体"/>
          <w:sz w:val="24"/>
        </w:rPr>
        <w:t xml:space="preserve">   </w:t>
      </w:r>
    </w:p>
    <w:p>
      <w:pPr>
        <w:pStyle w:val="57"/>
        <w:snapToGrid w:val="0"/>
        <w:ind w:firstLine="919" w:firstLineChars="383"/>
        <w:rPr>
          <w:rFonts w:hint="default" w:hAnsi="宋体" w:eastAsia="宋体" w:cs="宋体"/>
          <w:sz w:val="24"/>
          <w:lang w:val="en-US" w:eastAsia="zh-CN"/>
        </w:rPr>
      </w:pPr>
      <w:r>
        <w:rPr>
          <w:rFonts w:hint="eastAsia" w:hAnsi="宋体" w:cs="宋体"/>
          <w:sz w:val="24"/>
        </w:rPr>
        <w:t>联系电话：028-6893</w:t>
      </w:r>
      <w:r>
        <w:rPr>
          <w:rFonts w:hint="eastAsia" w:hAnsi="宋体" w:cs="宋体"/>
          <w:sz w:val="24"/>
          <w:lang w:val="en-US" w:eastAsia="zh-CN"/>
        </w:rPr>
        <w:t>9875、</w:t>
      </w:r>
      <w:r>
        <w:rPr>
          <w:rFonts w:hint="eastAsia" w:hAnsi="宋体" w:cs="宋体"/>
          <w:sz w:val="24"/>
        </w:rPr>
        <w:t>68939951</w:t>
      </w:r>
      <w:r>
        <w:rPr>
          <w:rFonts w:hint="eastAsia" w:hAnsi="宋体" w:cs="宋体"/>
          <w:sz w:val="24"/>
          <w:lang w:val="en-US" w:eastAsia="zh-CN"/>
        </w:rPr>
        <w:t xml:space="preserve">  </w:t>
      </w:r>
    </w:p>
    <w:p>
      <w:pPr>
        <w:pStyle w:val="4"/>
        <w:snapToGrid w:val="0"/>
        <w:spacing w:before="0" w:after="0" w:line="360" w:lineRule="auto"/>
        <w:jc w:val="center"/>
        <w:rPr>
          <w:rFonts w:hAnsi="宋体" w:cs="宋体"/>
          <w:sz w:val="30"/>
          <w:szCs w:val="30"/>
        </w:rPr>
      </w:pPr>
      <w:r>
        <w:rPr>
          <w:rFonts w:hint="eastAsia" w:hAnsi="宋体" w:cs="宋体"/>
          <w:sz w:val="24"/>
        </w:rPr>
        <w:t xml:space="preserve"> </w:t>
      </w:r>
      <w:bookmarkStart w:id="5" w:name="_Toc213396945"/>
      <w:bookmarkStart w:id="6" w:name="_Toc217446031"/>
      <w:bookmarkStart w:id="7" w:name="_Toc213396759"/>
      <w:bookmarkStart w:id="8" w:name="_Toc213496267"/>
      <w:bookmarkStart w:id="9" w:name="_Toc213397009"/>
      <w:bookmarkStart w:id="10" w:name="_Toc358883242"/>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189727030"/>
      <w:bookmarkStart w:id="12" w:name="_Toc217446032"/>
      <w:bookmarkStart w:id="13" w:name="_Toc213396946"/>
      <w:bookmarkStart w:id="14" w:name="_Toc213496268"/>
      <w:bookmarkStart w:id="15" w:name="_Toc213396760"/>
      <w:bookmarkStart w:id="16" w:name="_Toc21339701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374" w:hRule="exact"/>
          <w:tblHeader/>
          <w:jc w:val="center"/>
        </w:trPr>
        <w:tc>
          <w:tcPr>
            <w:tcW w:w="771" w:type="dxa"/>
            <w:vAlign w:val="center"/>
          </w:tcPr>
          <w:p>
            <w:pPr>
              <w:pStyle w:val="59"/>
              <w:snapToGrid w:val="0"/>
              <w:spacing w:line="360" w:lineRule="auto"/>
              <w:jc w:val="center"/>
              <w:rPr>
                <w:lang w:val="zh-CN"/>
              </w:rPr>
            </w:pPr>
            <w:r>
              <w:rPr>
                <w:rFonts w:hint="eastAsia"/>
                <w:lang w:val="zh-CN"/>
              </w:rPr>
              <w:t xml:space="preserve">序号 </w:t>
            </w:r>
          </w:p>
        </w:tc>
        <w:tc>
          <w:tcPr>
            <w:tcW w:w="1916" w:type="dxa"/>
            <w:vAlign w:val="center"/>
          </w:tcPr>
          <w:p>
            <w:pPr>
              <w:pStyle w:val="59"/>
              <w:snapToGrid w:val="0"/>
              <w:spacing w:line="360" w:lineRule="auto"/>
              <w:jc w:val="center"/>
              <w:rPr>
                <w:lang w:val="zh-CN"/>
              </w:rPr>
            </w:pPr>
            <w:r>
              <w:rPr>
                <w:rFonts w:hint="eastAsia"/>
                <w:lang w:val="zh-CN"/>
              </w:rPr>
              <w:t xml:space="preserve">应知事项 </w:t>
            </w:r>
          </w:p>
        </w:tc>
        <w:tc>
          <w:tcPr>
            <w:tcW w:w="6819" w:type="dxa"/>
            <w:vAlign w:val="center"/>
          </w:tcPr>
          <w:p>
            <w:pPr>
              <w:pStyle w:val="59"/>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59"/>
              <w:snapToGrid w:val="0"/>
              <w:spacing w:line="360" w:lineRule="auto"/>
              <w:jc w:val="center"/>
            </w:pPr>
            <w:r>
              <w:rPr>
                <w:rFonts w:hint="eastAsia"/>
              </w:rPr>
              <w:t>1</w:t>
            </w:r>
          </w:p>
        </w:tc>
        <w:tc>
          <w:tcPr>
            <w:tcW w:w="1916" w:type="dxa"/>
            <w:vAlign w:val="center"/>
          </w:tcPr>
          <w:p>
            <w:pPr>
              <w:pStyle w:val="59"/>
              <w:snapToGrid w:val="0"/>
              <w:spacing w:line="360" w:lineRule="auto"/>
              <w:jc w:val="center"/>
              <w:rPr>
                <w:lang w:val="zh-CN"/>
              </w:rPr>
            </w:pPr>
            <w:r>
              <w:rPr>
                <w:rFonts w:hint="eastAsia"/>
                <w:lang w:val="zh-CN"/>
              </w:rPr>
              <w:t>采购人</w:t>
            </w:r>
          </w:p>
        </w:tc>
        <w:tc>
          <w:tcPr>
            <w:tcW w:w="6819" w:type="dxa"/>
            <w:vAlign w:val="center"/>
          </w:tcPr>
          <w:p>
            <w:pPr>
              <w:pStyle w:val="57"/>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59"/>
              <w:snapToGrid w:val="0"/>
              <w:spacing w:line="360" w:lineRule="auto"/>
              <w:ind w:firstLine="240" w:firstLineChars="100"/>
              <w:rPr>
                <w:lang w:val="zh-CN"/>
              </w:rPr>
            </w:pPr>
            <w:r>
              <w:rPr>
                <w:rFonts w:hint="eastAsia"/>
                <w:lang w:val="zh-CN"/>
              </w:rPr>
              <w:t>地址：</w:t>
            </w:r>
            <w:r>
              <w:rPr>
                <w:rFonts w:hint="eastAsia"/>
              </w:rPr>
              <w:t>四川成都郫</w:t>
            </w:r>
            <w:r>
              <w:rPr>
                <w:rFonts w:hint="eastAsia"/>
                <w:lang w:eastAsia="zh-CN"/>
              </w:rPr>
              <w:t>都区</w:t>
            </w:r>
            <w:r>
              <w:rPr>
                <w:rFonts w:hint="eastAsia"/>
              </w:rPr>
              <w:t>安德</w:t>
            </w:r>
            <w:r>
              <w:rPr>
                <w:rFonts w:hint="eastAsia"/>
                <w:lang w:eastAsia="zh-CN"/>
              </w:rPr>
              <w:t>街道</w:t>
            </w:r>
            <w:r>
              <w:rPr>
                <w:rFonts w:hint="eastAsia"/>
              </w:rPr>
              <w:t>彭温路399号</w:t>
            </w:r>
          </w:p>
          <w:p>
            <w:pPr>
              <w:pStyle w:val="59"/>
              <w:snapToGrid w:val="0"/>
              <w:spacing w:line="360" w:lineRule="auto"/>
              <w:ind w:firstLine="240" w:firstLineChars="100"/>
              <w:rPr>
                <w:lang w:val="zh-CN"/>
              </w:rPr>
            </w:pPr>
            <w:r>
              <w:rPr>
                <w:rFonts w:hint="eastAsia"/>
                <w:lang w:val="zh-CN"/>
              </w:rPr>
              <w:t>联 系 人：贺老师、李老师</w:t>
            </w:r>
          </w:p>
          <w:p>
            <w:pPr>
              <w:pStyle w:val="59"/>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w:t>
            </w:r>
            <w:r>
              <w:rPr>
                <w:rFonts w:hint="eastAsia"/>
                <w:lang w:val="en-US" w:eastAsia="zh-CN"/>
              </w:rPr>
              <w:t>9875、68939951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2</w:t>
            </w:r>
          </w:p>
        </w:tc>
        <w:tc>
          <w:tcPr>
            <w:tcW w:w="1916" w:type="dxa"/>
            <w:vAlign w:val="center"/>
          </w:tcPr>
          <w:p>
            <w:pPr>
              <w:pStyle w:val="59"/>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59"/>
              <w:snapToGrid w:val="0"/>
              <w:spacing w:line="360" w:lineRule="auto"/>
              <w:ind w:firstLine="240" w:firstLineChars="100"/>
              <w:rPr>
                <w:rFonts w:hint="default"/>
                <w:lang w:val="en-US" w:eastAsia="zh-CN"/>
              </w:rPr>
            </w:pPr>
            <w:r>
              <w:rPr>
                <w:rFonts w:hint="eastAsia"/>
                <w:lang w:val="en-US" w:eastAsia="zh-CN"/>
              </w:rPr>
              <w:t>经管学院SPOC课程建设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59"/>
              <w:snapToGrid w:val="0"/>
              <w:spacing w:line="360" w:lineRule="auto"/>
              <w:jc w:val="center"/>
            </w:pPr>
            <w:r>
              <w:rPr>
                <w:rFonts w:hint="eastAsia"/>
              </w:rPr>
              <w:t>3</w:t>
            </w:r>
          </w:p>
        </w:tc>
        <w:tc>
          <w:tcPr>
            <w:tcW w:w="1916" w:type="dxa"/>
            <w:vAlign w:val="center"/>
          </w:tcPr>
          <w:p>
            <w:pPr>
              <w:pStyle w:val="59"/>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59"/>
              <w:snapToGrid w:val="0"/>
              <w:spacing w:line="360" w:lineRule="auto"/>
              <w:ind w:firstLine="240" w:firstLineChars="100"/>
              <w:rPr>
                <w:rFonts w:hint="default"/>
                <w:lang w:val="en-US" w:eastAsia="zh-CN"/>
              </w:rPr>
            </w:pPr>
            <w:r>
              <w:rPr>
                <w:rFonts w:hint="eastAsia"/>
                <w:lang w:val="en-US" w:eastAsia="zh-CN"/>
              </w:rPr>
              <w:t>TZY-ZB-2022032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4</w:t>
            </w:r>
          </w:p>
        </w:tc>
        <w:tc>
          <w:tcPr>
            <w:tcW w:w="1916" w:type="dxa"/>
            <w:vAlign w:val="center"/>
          </w:tcPr>
          <w:p>
            <w:pPr>
              <w:pStyle w:val="59"/>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59"/>
              <w:snapToGrid w:val="0"/>
              <w:spacing w:line="360" w:lineRule="auto"/>
              <w:ind w:firstLine="240" w:firstLineChars="100"/>
              <w:rPr>
                <w:lang w:val="zh-CN"/>
              </w:rPr>
            </w:pPr>
            <w:r>
              <w:rPr>
                <w:rFonts w:hint="eastAsia"/>
                <w:lang w:val="en-US" w:eastAsia="zh-CN"/>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5</w:t>
            </w:r>
          </w:p>
        </w:tc>
        <w:tc>
          <w:tcPr>
            <w:tcW w:w="1916" w:type="dxa"/>
            <w:vAlign w:val="center"/>
          </w:tcPr>
          <w:p>
            <w:pPr>
              <w:pStyle w:val="59"/>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59"/>
              <w:snapToGrid w:val="0"/>
              <w:spacing w:line="360" w:lineRule="auto"/>
              <w:ind w:firstLine="240" w:firstLineChars="100"/>
              <w:rPr>
                <w:rFonts w:hint="default" w:eastAsia="宋体"/>
                <w:lang w:val="en-US" w:eastAsia="zh-CN"/>
              </w:rPr>
            </w:pPr>
            <w:r>
              <w:rPr>
                <w:rFonts w:hint="eastAsia"/>
                <w:lang w:val="en-US" w:eastAsia="zh-CN"/>
              </w:rPr>
              <w:t>4.5万元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59"/>
              <w:snapToGrid w:val="0"/>
              <w:spacing w:line="360" w:lineRule="auto"/>
              <w:jc w:val="center"/>
            </w:pPr>
            <w:r>
              <w:rPr>
                <w:rFonts w:hint="eastAsia"/>
              </w:rPr>
              <w:t>6</w:t>
            </w:r>
          </w:p>
        </w:tc>
        <w:tc>
          <w:tcPr>
            <w:tcW w:w="1916" w:type="dxa"/>
            <w:vAlign w:val="center"/>
          </w:tcPr>
          <w:p>
            <w:pPr>
              <w:pStyle w:val="59"/>
              <w:snapToGrid w:val="0"/>
              <w:spacing w:line="360" w:lineRule="auto"/>
              <w:jc w:val="center"/>
              <w:rPr>
                <w:lang w:val="zh-CN"/>
              </w:rPr>
            </w:pPr>
            <w:r>
              <w:rPr>
                <w:rFonts w:hint="eastAsia"/>
                <w:lang w:val="zh-CN"/>
              </w:rPr>
              <w:t>构成招标文件的其他文件</w:t>
            </w:r>
          </w:p>
        </w:tc>
        <w:tc>
          <w:tcPr>
            <w:tcW w:w="6819" w:type="dxa"/>
            <w:vAlign w:val="center"/>
          </w:tcPr>
          <w:p>
            <w:pPr>
              <w:pStyle w:val="59"/>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7</w:t>
            </w:r>
          </w:p>
        </w:tc>
        <w:tc>
          <w:tcPr>
            <w:tcW w:w="1916" w:type="dxa"/>
            <w:vAlign w:val="center"/>
          </w:tcPr>
          <w:p>
            <w:pPr>
              <w:pStyle w:val="59"/>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59"/>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8</w:t>
            </w:r>
          </w:p>
        </w:tc>
        <w:tc>
          <w:tcPr>
            <w:tcW w:w="1916" w:type="dxa"/>
            <w:vAlign w:val="center"/>
          </w:tcPr>
          <w:p>
            <w:pPr>
              <w:pStyle w:val="59"/>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59"/>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rPr>
                <w:lang w:val="zh-CN"/>
              </w:rPr>
            </w:pPr>
            <w:r>
              <w:rPr>
                <w:rFonts w:hint="eastAsia"/>
                <w:lang w:val="zh-CN"/>
              </w:rPr>
              <w:t>a.时间和地点详见 “投标邀请”;</w:t>
            </w:r>
          </w:p>
          <w:p>
            <w:pPr>
              <w:pStyle w:val="59"/>
              <w:snapToGrid w:val="0"/>
              <w:spacing w:line="360" w:lineRule="auto"/>
              <w:rPr>
                <w:lang w:val="zh-CN"/>
              </w:rPr>
            </w:pPr>
            <w:r>
              <w:rPr>
                <w:rFonts w:hint="eastAsia"/>
                <w:lang w:val="zh-CN"/>
              </w:rPr>
              <w:t>b.采购人在招标文件规定的时间和地点组织开标，投标人代表人执有效身份证参加。</w:t>
            </w:r>
          </w:p>
          <w:p>
            <w:pPr>
              <w:pStyle w:val="59"/>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rPr>
                <w:highlight w:val="yellow"/>
                <w:lang w:val="zh-CN"/>
              </w:rPr>
            </w:pPr>
            <w:r>
              <w:rPr>
                <w:rFonts w:hint="eastAsia"/>
                <w:lang w:val="zh-CN"/>
              </w:rPr>
              <w:t>时间：</w:t>
            </w:r>
            <w:r>
              <w:rPr>
                <w:rFonts w:hint="eastAsia"/>
                <w:lang w:val="en-US" w:eastAsia="zh-CN"/>
              </w:rPr>
              <w:t xml:space="preserve">2022 </w:t>
            </w:r>
            <w:r>
              <w:rPr>
                <w:rFonts w:hint="eastAsia"/>
                <w:lang w:val="zh-CN"/>
              </w:rPr>
              <w:t>年</w:t>
            </w:r>
            <w:r>
              <w:rPr>
                <w:rFonts w:hint="eastAsia"/>
                <w:lang w:val="en-US" w:eastAsia="zh-CN"/>
              </w:rPr>
              <w:t xml:space="preserve"> 11</w:t>
            </w:r>
            <w:r>
              <w:rPr>
                <w:rFonts w:hint="eastAsia"/>
              </w:rPr>
              <w:t>月</w:t>
            </w:r>
            <w:r>
              <w:rPr>
                <w:rFonts w:hint="eastAsia"/>
                <w:lang w:val="en-US" w:eastAsia="zh-CN"/>
              </w:rPr>
              <w:t xml:space="preserve"> 17 </w:t>
            </w:r>
            <w:r>
              <w:rPr>
                <w:rFonts w:hint="eastAsia"/>
                <w:lang w:val="zh-CN"/>
              </w:rPr>
              <w:t>日</w:t>
            </w:r>
            <w:r>
              <w:rPr>
                <w:rFonts w:hint="eastAsia"/>
                <w:lang w:val="en-US" w:eastAsia="zh-CN"/>
              </w:rPr>
              <w:t>10:00</w:t>
            </w:r>
            <w:r>
              <w:rPr>
                <w:rFonts w:hint="eastAsia"/>
                <w:lang w:val="zh-CN"/>
              </w:rPr>
              <w:t>（北京时间）</w:t>
            </w:r>
          </w:p>
          <w:p>
            <w:pPr>
              <w:pStyle w:val="59"/>
              <w:snapToGrid w:val="0"/>
              <w:spacing w:line="360" w:lineRule="auto"/>
              <w:ind w:firstLine="240" w:firstLineChars="100"/>
              <w:rPr>
                <w:rFonts w:hint="default" w:eastAsia="宋体"/>
                <w:lang w:val="en-US" w:eastAsia="zh-CN"/>
              </w:rPr>
            </w:pPr>
            <w:r>
              <w:rPr>
                <w:rFonts w:hint="eastAsia"/>
                <w:lang w:val="zh-CN"/>
              </w:rPr>
              <w:t>地点：</w:t>
            </w:r>
            <w:r>
              <w:rPr>
                <w:rFonts w:hint="eastAsia"/>
              </w:rPr>
              <w:t>四川成都郫</w:t>
            </w:r>
            <w:r>
              <w:rPr>
                <w:rFonts w:hint="eastAsia"/>
                <w:lang w:eastAsia="zh-CN"/>
              </w:rPr>
              <w:t>都区</w:t>
            </w:r>
            <w:r>
              <w:rPr>
                <w:rFonts w:hint="eastAsia"/>
              </w:rPr>
              <w:t>安德</w:t>
            </w:r>
            <w:r>
              <w:rPr>
                <w:rFonts w:hint="eastAsia"/>
                <w:lang w:eastAsia="zh-CN"/>
              </w:rPr>
              <w:t>街道</w:t>
            </w:r>
            <w:r>
              <w:rPr>
                <w:rFonts w:hint="eastAsia"/>
              </w:rPr>
              <w:t>彭温路399号</w:t>
            </w:r>
            <w:r>
              <w:rPr>
                <w:rFonts w:hint="eastAsia"/>
                <w:lang w:eastAsia="zh-CN"/>
              </w:rPr>
              <w:t>后勤基建办公区</w:t>
            </w:r>
            <w:r>
              <w:rPr>
                <w:rFonts w:hint="eastAsia"/>
                <w:lang w:val="en-US" w:eastAsia="zh-CN"/>
              </w:rPr>
              <w:t>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217446038"/>
      <w:bookmarkStart w:id="18" w:name="_Toc77400779"/>
      <w:bookmarkStart w:id="19" w:name="_Toc183582209"/>
      <w:bookmarkStart w:id="20" w:name="_Toc183682346"/>
      <w:bookmarkStart w:id="21" w:name="_Toc89075875"/>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582210"/>
      <w:bookmarkStart w:id="23" w:name="_Toc183682347"/>
      <w:bookmarkStart w:id="24" w:name="_Toc217446039"/>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682348"/>
      <w:bookmarkStart w:id="26" w:name="_Toc183582211"/>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183582214"/>
      <w:bookmarkStart w:id="29" w:name="_Toc89075876"/>
      <w:bookmarkStart w:id="30" w:name="_Toc217446042"/>
      <w:bookmarkStart w:id="31" w:name="_Toc183682351"/>
      <w:bookmarkStart w:id="32" w:name="_Toc77400780"/>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217446043"/>
      <w:bookmarkStart w:id="34" w:name="_Toc183582215"/>
      <w:bookmarkStart w:id="35" w:name="_Toc183682352"/>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682354"/>
      <w:bookmarkStart w:id="39" w:name="_Toc183582217"/>
      <w:bookmarkStart w:id="40" w:name="_Toc217446048"/>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183582218"/>
      <w:bookmarkStart w:id="44" w:name="_Toc183682355"/>
      <w:bookmarkStart w:id="45" w:name="_Toc217446049"/>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10"/>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10"/>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10"/>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582224"/>
      <w:bookmarkStart w:id="47" w:name="_Toc217446051"/>
      <w:bookmarkStart w:id="48" w:name="_Toc18368236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77400781"/>
      <w:bookmarkStart w:id="50" w:name="_Toc89075877"/>
      <w:bookmarkStart w:id="51" w:name="_Toc183682363"/>
      <w:bookmarkStart w:id="52" w:name="_Toc183582226"/>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w:t>
      </w:r>
      <w:bookmarkStart w:id="99" w:name="_GoBack"/>
      <w:bookmarkEnd w:id="99"/>
      <w:r>
        <w:rPr>
          <w:rFonts w:hint="eastAsia" w:hAnsi="宋体" w:cs="宋体"/>
          <w:sz w:val="24"/>
          <w:szCs w:val="24"/>
        </w:rPr>
        <w:t>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77400782"/>
      <w:bookmarkStart w:id="61" w:name="_Toc183682368"/>
      <w:bookmarkStart w:id="62" w:name="_Toc183582231"/>
      <w:bookmarkStart w:id="63" w:name="_Toc217446056"/>
      <w:bookmarkStart w:id="64" w:name="_Toc89075878"/>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682369"/>
      <w:bookmarkStart w:id="66" w:name="_Toc217446057"/>
      <w:bookmarkStart w:id="67" w:name="_Toc183582232"/>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682377"/>
      <w:bookmarkStart w:id="73" w:name="_Toc183582240"/>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582243"/>
      <w:bookmarkStart w:id="80"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2"/>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w:t>
      </w:r>
      <w:r>
        <w:rPr>
          <w:rFonts w:hint="eastAsia" w:hAnsi="宋体" w:cs="宋体"/>
          <w:sz w:val="24"/>
          <w:lang w:val="en-US" w:eastAsia="zh-CN"/>
        </w:rPr>
        <w:t>5</w:t>
      </w:r>
      <w:r>
        <w:rPr>
          <w:rFonts w:hint="eastAsia" w:hAnsi="宋体" w:cs="宋体"/>
          <w:sz w:val="24"/>
        </w:rPr>
        <w:t>。</w:t>
      </w:r>
      <w:bookmarkStart w:id="84" w:name="_Toc358883243"/>
    </w:p>
    <w:p>
      <w:pPr>
        <w:pStyle w:val="12"/>
        <w:snapToGrid w:val="0"/>
        <w:spacing w:line="360" w:lineRule="auto"/>
        <w:ind w:firstLine="480" w:firstLineChars="200"/>
        <w:rPr>
          <w:rFonts w:hAnsi="宋体" w:cs="宋体"/>
          <w:sz w:val="24"/>
        </w:rPr>
      </w:pPr>
    </w:p>
    <w:p>
      <w:pPr>
        <w:pStyle w:val="12"/>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2"/>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2"/>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2"/>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37145385"/>
      <w:bookmarkStart w:id="88" w:name="_Toc250041691"/>
      <w:bookmarkStart w:id="89" w:name="_Toc297204985"/>
      <w:bookmarkStart w:id="90" w:name="_Toc263768864"/>
      <w:bookmarkStart w:id="91" w:name="_Toc263753600"/>
      <w:bookmarkStart w:id="92" w:name="_Toc256175382"/>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pgNumType w:start="1"/>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int="eastAsia"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5"/>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1"/>
        <w:tblW w:w="9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2682"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682"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68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68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682"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int="eastAsia"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1"/>
        <w:tblW w:w="926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92"/>
        <w:gridCol w:w="1780"/>
        <w:gridCol w:w="2436"/>
        <w:gridCol w:w="1564"/>
        <w:gridCol w:w="1264"/>
        <w:gridCol w:w="9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80"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436"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564"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264"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930"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vAlign w:val="center"/>
          </w:tcPr>
          <w:p>
            <w:pPr>
              <w:snapToGrid w:val="0"/>
              <w:spacing w:line="360" w:lineRule="auto"/>
              <w:jc w:val="left"/>
              <w:rPr>
                <w:rFonts w:hAnsi="宋体" w:cs="宋体"/>
                <w:sz w:val="24"/>
                <w:szCs w:val="24"/>
              </w:rPr>
            </w:pPr>
          </w:p>
        </w:tc>
        <w:tc>
          <w:tcPr>
            <w:tcW w:w="1780" w:type="dxa"/>
            <w:vAlign w:val="center"/>
          </w:tcPr>
          <w:p>
            <w:pPr>
              <w:snapToGrid w:val="0"/>
              <w:spacing w:line="360" w:lineRule="auto"/>
              <w:jc w:val="left"/>
              <w:rPr>
                <w:rFonts w:hAnsi="宋体" w:cs="宋体"/>
                <w:sz w:val="24"/>
                <w:szCs w:val="24"/>
              </w:rPr>
            </w:pPr>
          </w:p>
        </w:tc>
        <w:tc>
          <w:tcPr>
            <w:tcW w:w="2436" w:type="dxa"/>
            <w:vAlign w:val="center"/>
          </w:tcPr>
          <w:p>
            <w:pPr>
              <w:snapToGrid w:val="0"/>
              <w:spacing w:line="360" w:lineRule="auto"/>
              <w:jc w:val="left"/>
              <w:rPr>
                <w:rFonts w:hAnsi="宋体" w:cs="宋体"/>
                <w:sz w:val="24"/>
                <w:szCs w:val="24"/>
              </w:rPr>
            </w:pPr>
          </w:p>
        </w:tc>
        <w:tc>
          <w:tcPr>
            <w:tcW w:w="1564" w:type="dxa"/>
            <w:vAlign w:val="center"/>
          </w:tcPr>
          <w:p>
            <w:pPr>
              <w:snapToGrid w:val="0"/>
              <w:spacing w:line="360" w:lineRule="auto"/>
              <w:jc w:val="left"/>
              <w:rPr>
                <w:rFonts w:hAnsi="宋体" w:cs="宋体"/>
                <w:sz w:val="24"/>
                <w:szCs w:val="24"/>
              </w:rPr>
            </w:pPr>
          </w:p>
        </w:tc>
        <w:tc>
          <w:tcPr>
            <w:tcW w:w="1264" w:type="dxa"/>
            <w:vAlign w:val="center"/>
          </w:tcPr>
          <w:p>
            <w:pPr>
              <w:snapToGrid w:val="0"/>
              <w:spacing w:line="360" w:lineRule="auto"/>
              <w:jc w:val="left"/>
              <w:rPr>
                <w:rFonts w:hAnsi="宋体" w:cs="宋体"/>
                <w:sz w:val="24"/>
                <w:szCs w:val="24"/>
              </w:rPr>
            </w:pPr>
          </w:p>
        </w:tc>
        <w:tc>
          <w:tcPr>
            <w:tcW w:w="930"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vAlign w:val="center"/>
          </w:tcPr>
          <w:p>
            <w:pPr>
              <w:snapToGrid w:val="0"/>
              <w:spacing w:line="360" w:lineRule="auto"/>
              <w:jc w:val="left"/>
              <w:rPr>
                <w:rFonts w:hAnsi="宋体" w:cs="宋体"/>
                <w:sz w:val="24"/>
                <w:szCs w:val="24"/>
              </w:rPr>
            </w:pPr>
          </w:p>
        </w:tc>
        <w:tc>
          <w:tcPr>
            <w:tcW w:w="1780" w:type="dxa"/>
            <w:vAlign w:val="center"/>
          </w:tcPr>
          <w:p>
            <w:pPr>
              <w:snapToGrid w:val="0"/>
              <w:spacing w:line="360" w:lineRule="auto"/>
              <w:jc w:val="left"/>
              <w:rPr>
                <w:rFonts w:hAnsi="宋体" w:cs="宋体"/>
                <w:sz w:val="24"/>
                <w:szCs w:val="24"/>
              </w:rPr>
            </w:pPr>
          </w:p>
        </w:tc>
        <w:tc>
          <w:tcPr>
            <w:tcW w:w="2436" w:type="dxa"/>
            <w:vAlign w:val="center"/>
          </w:tcPr>
          <w:p>
            <w:pPr>
              <w:snapToGrid w:val="0"/>
              <w:spacing w:line="360" w:lineRule="auto"/>
              <w:jc w:val="left"/>
              <w:rPr>
                <w:rFonts w:hAnsi="宋体" w:cs="宋体"/>
                <w:sz w:val="24"/>
                <w:szCs w:val="24"/>
              </w:rPr>
            </w:pPr>
          </w:p>
        </w:tc>
        <w:tc>
          <w:tcPr>
            <w:tcW w:w="1564" w:type="dxa"/>
            <w:vAlign w:val="center"/>
          </w:tcPr>
          <w:p>
            <w:pPr>
              <w:snapToGrid w:val="0"/>
              <w:spacing w:line="360" w:lineRule="auto"/>
              <w:jc w:val="left"/>
              <w:rPr>
                <w:rFonts w:hAnsi="宋体" w:cs="宋体"/>
                <w:sz w:val="24"/>
                <w:szCs w:val="24"/>
              </w:rPr>
            </w:pPr>
          </w:p>
        </w:tc>
        <w:tc>
          <w:tcPr>
            <w:tcW w:w="1264" w:type="dxa"/>
            <w:vAlign w:val="center"/>
          </w:tcPr>
          <w:p>
            <w:pPr>
              <w:snapToGrid w:val="0"/>
              <w:spacing w:line="360" w:lineRule="auto"/>
              <w:jc w:val="left"/>
              <w:rPr>
                <w:rFonts w:hAnsi="宋体" w:cs="宋体"/>
                <w:sz w:val="24"/>
                <w:szCs w:val="24"/>
              </w:rPr>
            </w:pPr>
          </w:p>
        </w:tc>
        <w:tc>
          <w:tcPr>
            <w:tcW w:w="930"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vAlign w:val="center"/>
          </w:tcPr>
          <w:p>
            <w:pPr>
              <w:snapToGrid w:val="0"/>
              <w:spacing w:line="360" w:lineRule="auto"/>
              <w:jc w:val="left"/>
              <w:rPr>
                <w:rFonts w:hAnsi="宋体" w:cs="宋体"/>
                <w:sz w:val="24"/>
                <w:szCs w:val="24"/>
              </w:rPr>
            </w:pPr>
          </w:p>
        </w:tc>
        <w:tc>
          <w:tcPr>
            <w:tcW w:w="1780" w:type="dxa"/>
            <w:vAlign w:val="center"/>
          </w:tcPr>
          <w:p>
            <w:pPr>
              <w:snapToGrid w:val="0"/>
              <w:spacing w:line="360" w:lineRule="auto"/>
              <w:jc w:val="left"/>
              <w:rPr>
                <w:rFonts w:hAnsi="宋体" w:cs="宋体"/>
                <w:sz w:val="24"/>
                <w:szCs w:val="24"/>
              </w:rPr>
            </w:pPr>
          </w:p>
        </w:tc>
        <w:tc>
          <w:tcPr>
            <w:tcW w:w="2436" w:type="dxa"/>
            <w:vAlign w:val="center"/>
          </w:tcPr>
          <w:p>
            <w:pPr>
              <w:snapToGrid w:val="0"/>
              <w:spacing w:line="360" w:lineRule="auto"/>
              <w:jc w:val="left"/>
              <w:rPr>
                <w:rFonts w:hAnsi="宋体" w:cs="宋体"/>
                <w:sz w:val="24"/>
                <w:szCs w:val="24"/>
              </w:rPr>
            </w:pPr>
          </w:p>
        </w:tc>
        <w:tc>
          <w:tcPr>
            <w:tcW w:w="1564" w:type="dxa"/>
            <w:vAlign w:val="center"/>
          </w:tcPr>
          <w:p>
            <w:pPr>
              <w:snapToGrid w:val="0"/>
              <w:spacing w:line="360" w:lineRule="auto"/>
              <w:jc w:val="left"/>
              <w:rPr>
                <w:rFonts w:hAnsi="宋体" w:cs="宋体"/>
                <w:sz w:val="24"/>
                <w:szCs w:val="24"/>
              </w:rPr>
            </w:pPr>
          </w:p>
        </w:tc>
        <w:tc>
          <w:tcPr>
            <w:tcW w:w="1264" w:type="dxa"/>
            <w:vAlign w:val="center"/>
          </w:tcPr>
          <w:p>
            <w:pPr>
              <w:snapToGrid w:val="0"/>
              <w:spacing w:line="360" w:lineRule="auto"/>
              <w:jc w:val="left"/>
              <w:rPr>
                <w:rFonts w:hAnsi="宋体" w:cs="宋体"/>
                <w:sz w:val="24"/>
                <w:szCs w:val="24"/>
              </w:rPr>
            </w:pPr>
          </w:p>
        </w:tc>
        <w:tc>
          <w:tcPr>
            <w:tcW w:w="930"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vAlign w:val="center"/>
          </w:tcPr>
          <w:p>
            <w:pPr>
              <w:snapToGrid w:val="0"/>
              <w:spacing w:line="360" w:lineRule="auto"/>
              <w:jc w:val="left"/>
              <w:rPr>
                <w:rFonts w:hAnsi="宋体" w:cs="宋体"/>
                <w:sz w:val="24"/>
                <w:szCs w:val="24"/>
              </w:rPr>
            </w:pPr>
          </w:p>
        </w:tc>
        <w:tc>
          <w:tcPr>
            <w:tcW w:w="1780" w:type="dxa"/>
            <w:tcBorders>
              <w:right w:val="single" w:color="auto" w:sz="4" w:space="0"/>
            </w:tcBorders>
            <w:vAlign w:val="center"/>
          </w:tcPr>
          <w:p>
            <w:pPr>
              <w:snapToGrid w:val="0"/>
              <w:spacing w:line="360" w:lineRule="auto"/>
              <w:jc w:val="left"/>
              <w:rPr>
                <w:rFonts w:hAnsi="宋体" w:cs="宋体"/>
                <w:sz w:val="24"/>
                <w:szCs w:val="24"/>
              </w:rPr>
            </w:pPr>
          </w:p>
        </w:tc>
        <w:tc>
          <w:tcPr>
            <w:tcW w:w="2436" w:type="dxa"/>
            <w:tcBorders>
              <w:left w:val="single" w:color="auto" w:sz="4" w:space="0"/>
            </w:tcBorders>
            <w:vAlign w:val="center"/>
          </w:tcPr>
          <w:p>
            <w:pPr>
              <w:snapToGrid w:val="0"/>
              <w:spacing w:line="360" w:lineRule="auto"/>
              <w:jc w:val="left"/>
              <w:rPr>
                <w:rFonts w:hAnsi="宋体" w:cs="宋体"/>
                <w:sz w:val="24"/>
                <w:szCs w:val="24"/>
              </w:rPr>
            </w:pPr>
          </w:p>
        </w:tc>
        <w:tc>
          <w:tcPr>
            <w:tcW w:w="1564" w:type="dxa"/>
            <w:vAlign w:val="center"/>
          </w:tcPr>
          <w:p>
            <w:pPr>
              <w:snapToGrid w:val="0"/>
              <w:spacing w:line="360" w:lineRule="auto"/>
              <w:jc w:val="left"/>
              <w:rPr>
                <w:rFonts w:hAnsi="宋体" w:cs="宋体"/>
                <w:sz w:val="24"/>
                <w:szCs w:val="24"/>
              </w:rPr>
            </w:pPr>
          </w:p>
        </w:tc>
        <w:tc>
          <w:tcPr>
            <w:tcW w:w="1264" w:type="dxa"/>
            <w:vAlign w:val="center"/>
          </w:tcPr>
          <w:p>
            <w:pPr>
              <w:snapToGrid w:val="0"/>
              <w:spacing w:line="360" w:lineRule="auto"/>
              <w:jc w:val="left"/>
              <w:rPr>
                <w:rFonts w:hAnsi="宋体" w:cs="宋体"/>
                <w:sz w:val="24"/>
                <w:szCs w:val="24"/>
              </w:rPr>
            </w:pPr>
          </w:p>
        </w:tc>
        <w:tc>
          <w:tcPr>
            <w:tcW w:w="930"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tcBorders>
              <w:right w:val="single" w:color="auto" w:sz="4" w:space="0"/>
            </w:tcBorders>
            <w:vAlign w:val="center"/>
          </w:tcPr>
          <w:p>
            <w:pPr>
              <w:snapToGrid w:val="0"/>
              <w:spacing w:line="360" w:lineRule="auto"/>
              <w:jc w:val="left"/>
              <w:rPr>
                <w:rFonts w:hAnsi="宋体" w:cs="宋体"/>
                <w:sz w:val="24"/>
                <w:szCs w:val="24"/>
              </w:rPr>
            </w:pPr>
          </w:p>
        </w:tc>
        <w:tc>
          <w:tcPr>
            <w:tcW w:w="1780"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436"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564"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264"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930"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vAlign w:val="center"/>
          </w:tcPr>
          <w:p>
            <w:pPr>
              <w:snapToGrid w:val="0"/>
              <w:spacing w:line="360" w:lineRule="auto"/>
              <w:jc w:val="left"/>
              <w:rPr>
                <w:rFonts w:hAnsi="宋体" w:cs="宋体"/>
                <w:sz w:val="24"/>
                <w:szCs w:val="24"/>
              </w:rPr>
            </w:pPr>
          </w:p>
        </w:tc>
        <w:tc>
          <w:tcPr>
            <w:tcW w:w="1780" w:type="dxa"/>
            <w:vAlign w:val="center"/>
          </w:tcPr>
          <w:p>
            <w:pPr>
              <w:snapToGrid w:val="0"/>
              <w:spacing w:line="360" w:lineRule="auto"/>
              <w:jc w:val="left"/>
              <w:rPr>
                <w:rFonts w:hAnsi="宋体" w:cs="宋体"/>
                <w:sz w:val="24"/>
                <w:szCs w:val="24"/>
              </w:rPr>
            </w:pPr>
          </w:p>
        </w:tc>
        <w:tc>
          <w:tcPr>
            <w:tcW w:w="2436" w:type="dxa"/>
            <w:vAlign w:val="center"/>
          </w:tcPr>
          <w:p>
            <w:pPr>
              <w:snapToGrid w:val="0"/>
              <w:spacing w:line="360" w:lineRule="auto"/>
              <w:jc w:val="left"/>
              <w:rPr>
                <w:rFonts w:hAnsi="宋体" w:cs="宋体"/>
                <w:sz w:val="24"/>
                <w:szCs w:val="24"/>
              </w:rPr>
            </w:pPr>
          </w:p>
        </w:tc>
        <w:tc>
          <w:tcPr>
            <w:tcW w:w="1564" w:type="dxa"/>
            <w:vAlign w:val="center"/>
          </w:tcPr>
          <w:p>
            <w:pPr>
              <w:snapToGrid w:val="0"/>
              <w:spacing w:line="360" w:lineRule="auto"/>
              <w:jc w:val="left"/>
              <w:rPr>
                <w:rFonts w:hAnsi="宋体" w:cs="宋体"/>
                <w:sz w:val="24"/>
                <w:szCs w:val="24"/>
              </w:rPr>
            </w:pPr>
          </w:p>
        </w:tc>
        <w:tc>
          <w:tcPr>
            <w:tcW w:w="1264" w:type="dxa"/>
            <w:tcBorders>
              <w:right w:val="single" w:color="auto" w:sz="4" w:space="0"/>
            </w:tcBorders>
            <w:vAlign w:val="center"/>
          </w:tcPr>
          <w:p>
            <w:pPr>
              <w:snapToGrid w:val="0"/>
              <w:spacing w:line="360" w:lineRule="auto"/>
              <w:jc w:val="left"/>
              <w:rPr>
                <w:rFonts w:hAnsi="宋体" w:cs="宋体"/>
                <w:sz w:val="24"/>
                <w:szCs w:val="24"/>
              </w:rPr>
            </w:pPr>
          </w:p>
        </w:tc>
        <w:tc>
          <w:tcPr>
            <w:tcW w:w="930"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vAlign w:val="center"/>
          </w:tcPr>
          <w:p>
            <w:pPr>
              <w:snapToGrid w:val="0"/>
              <w:spacing w:line="360" w:lineRule="auto"/>
              <w:jc w:val="left"/>
              <w:rPr>
                <w:rFonts w:hAnsi="宋体" w:cs="宋体"/>
                <w:sz w:val="24"/>
                <w:szCs w:val="24"/>
              </w:rPr>
            </w:pPr>
          </w:p>
        </w:tc>
        <w:tc>
          <w:tcPr>
            <w:tcW w:w="1780" w:type="dxa"/>
            <w:vAlign w:val="center"/>
          </w:tcPr>
          <w:p>
            <w:pPr>
              <w:snapToGrid w:val="0"/>
              <w:spacing w:line="360" w:lineRule="auto"/>
              <w:jc w:val="left"/>
              <w:rPr>
                <w:rFonts w:hAnsi="宋体" w:cs="宋体"/>
                <w:sz w:val="24"/>
                <w:szCs w:val="24"/>
              </w:rPr>
            </w:pPr>
          </w:p>
        </w:tc>
        <w:tc>
          <w:tcPr>
            <w:tcW w:w="2436" w:type="dxa"/>
            <w:vAlign w:val="center"/>
          </w:tcPr>
          <w:p>
            <w:pPr>
              <w:snapToGrid w:val="0"/>
              <w:spacing w:line="360" w:lineRule="auto"/>
              <w:jc w:val="left"/>
              <w:rPr>
                <w:rFonts w:hAnsi="宋体" w:cs="宋体"/>
                <w:sz w:val="24"/>
                <w:szCs w:val="24"/>
              </w:rPr>
            </w:pPr>
          </w:p>
        </w:tc>
        <w:tc>
          <w:tcPr>
            <w:tcW w:w="1564" w:type="dxa"/>
            <w:vAlign w:val="center"/>
          </w:tcPr>
          <w:p>
            <w:pPr>
              <w:snapToGrid w:val="0"/>
              <w:spacing w:line="360" w:lineRule="auto"/>
              <w:jc w:val="left"/>
              <w:rPr>
                <w:rFonts w:hAnsi="宋体" w:cs="宋体"/>
                <w:sz w:val="24"/>
                <w:szCs w:val="24"/>
              </w:rPr>
            </w:pPr>
          </w:p>
        </w:tc>
        <w:tc>
          <w:tcPr>
            <w:tcW w:w="1264" w:type="dxa"/>
            <w:tcBorders>
              <w:right w:val="single" w:color="auto" w:sz="4" w:space="0"/>
            </w:tcBorders>
            <w:vAlign w:val="center"/>
          </w:tcPr>
          <w:p>
            <w:pPr>
              <w:snapToGrid w:val="0"/>
              <w:spacing w:line="360" w:lineRule="auto"/>
              <w:jc w:val="left"/>
              <w:rPr>
                <w:rFonts w:hAnsi="宋体" w:cs="宋体"/>
                <w:sz w:val="24"/>
                <w:szCs w:val="24"/>
              </w:rPr>
            </w:pPr>
          </w:p>
        </w:tc>
        <w:tc>
          <w:tcPr>
            <w:tcW w:w="930"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vAlign w:val="center"/>
          </w:tcPr>
          <w:p>
            <w:pPr>
              <w:snapToGrid w:val="0"/>
              <w:spacing w:line="360" w:lineRule="auto"/>
              <w:jc w:val="left"/>
              <w:rPr>
                <w:rFonts w:hAnsi="宋体" w:cs="宋体"/>
                <w:sz w:val="24"/>
                <w:szCs w:val="24"/>
              </w:rPr>
            </w:pPr>
          </w:p>
        </w:tc>
        <w:tc>
          <w:tcPr>
            <w:tcW w:w="1780" w:type="dxa"/>
            <w:vAlign w:val="center"/>
          </w:tcPr>
          <w:p>
            <w:pPr>
              <w:snapToGrid w:val="0"/>
              <w:spacing w:line="360" w:lineRule="auto"/>
              <w:jc w:val="left"/>
              <w:rPr>
                <w:rFonts w:hAnsi="宋体" w:cs="宋体"/>
                <w:sz w:val="24"/>
                <w:szCs w:val="24"/>
              </w:rPr>
            </w:pPr>
          </w:p>
        </w:tc>
        <w:tc>
          <w:tcPr>
            <w:tcW w:w="2436" w:type="dxa"/>
            <w:vAlign w:val="center"/>
          </w:tcPr>
          <w:p>
            <w:pPr>
              <w:snapToGrid w:val="0"/>
              <w:spacing w:line="360" w:lineRule="auto"/>
              <w:jc w:val="left"/>
              <w:rPr>
                <w:rFonts w:hAnsi="宋体" w:cs="宋体"/>
                <w:sz w:val="24"/>
                <w:szCs w:val="24"/>
              </w:rPr>
            </w:pPr>
          </w:p>
        </w:tc>
        <w:tc>
          <w:tcPr>
            <w:tcW w:w="1564" w:type="dxa"/>
            <w:vAlign w:val="center"/>
          </w:tcPr>
          <w:p>
            <w:pPr>
              <w:snapToGrid w:val="0"/>
              <w:spacing w:line="360" w:lineRule="auto"/>
              <w:jc w:val="left"/>
              <w:rPr>
                <w:rFonts w:hAnsi="宋体" w:cs="宋体"/>
                <w:sz w:val="24"/>
                <w:szCs w:val="24"/>
              </w:rPr>
            </w:pPr>
          </w:p>
        </w:tc>
        <w:tc>
          <w:tcPr>
            <w:tcW w:w="1264" w:type="dxa"/>
            <w:tcBorders>
              <w:right w:val="single" w:color="auto" w:sz="4" w:space="0"/>
            </w:tcBorders>
            <w:vAlign w:val="center"/>
          </w:tcPr>
          <w:p>
            <w:pPr>
              <w:snapToGrid w:val="0"/>
              <w:spacing w:line="360" w:lineRule="auto"/>
              <w:jc w:val="left"/>
              <w:rPr>
                <w:rFonts w:hAnsi="宋体" w:cs="宋体"/>
                <w:sz w:val="24"/>
                <w:szCs w:val="24"/>
              </w:rPr>
            </w:pPr>
          </w:p>
        </w:tc>
        <w:tc>
          <w:tcPr>
            <w:tcW w:w="930"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292" w:type="dxa"/>
            <w:tcBorders>
              <w:bottom w:val="single" w:color="auto" w:sz="4" w:space="0"/>
            </w:tcBorders>
            <w:vAlign w:val="center"/>
          </w:tcPr>
          <w:p>
            <w:pPr>
              <w:snapToGrid w:val="0"/>
              <w:spacing w:line="360" w:lineRule="auto"/>
              <w:jc w:val="left"/>
              <w:rPr>
                <w:rFonts w:hAnsi="宋体" w:cs="宋体"/>
                <w:sz w:val="24"/>
                <w:szCs w:val="24"/>
              </w:rPr>
            </w:pPr>
          </w:p>
        </w:tc>
        <w:tc>
          <w:tcPr>
            <w:tcW w:w="1780" w:type="dxa"/>
            <w:tcBorders>
              <w:bottom w:val="single" w:color="auto" w:sz="4" w:space="0"/>
            </w:tcBorders>
            <w:vAlign w:val="center"/>
          </w:tcPr>
          <w:p>
            <w:pPr>
              <w:snapToGrid w:val="0"/>
              <w:spacing w:line="360" w:lineRule="auto"/>
              <w:jc w:val="left"/>
              <w:rPr>
                <w:rFonts w:hAnsi="宋体" w:cs="宋体"/>
                <w:sz w:val="24"/>
                <w:szCs w:val="24"/>
              </w:rPr>
            </w:pPr>
          </w:p>
        </w:tc>
        <w:tc>
          <w:tcPr>
            <w:tcW w:w="2436" w:type="dxa"/>
            <w:tcBorders>
              <w:bottom w:val="single" w:color="auto" w:sz="4" w:space="0"/>
            </w:tcBorders>
            <w:vAlign w:val="center"/>
          </w:tcPr>
          <w:p>
            <w:pPr>
              <w:snapToGrid w:val="0"/>
              <w:spacing w:line="360" w:lineRule="auto"/>
              <w:jc w:val="left"/>
              <w:rPr>
                <w:rFonts w:hAnsi="宋体" w:cs="宋体"/>
                <w:sz w:val="24"/>
                <w:szCs w:val="24"/>
              </w:rPr>
            </w:pPr>
          </w:p>
        </w:tc>
        <w:tc>
          <w:tcPr>
            <w:tcW w:w="1564" w:type="dxa"/>
            <w:tcBorders>
              <w:bottom w:val="single" w:color="auto" w:sz="4" w:space="0"/>
            </w:tcBorders>
            <w:vAlign w:val="center"/>
          </w:tcPr>
          <w:p>
            <w:pPr>
              <w:snapToGrid w:val="0"/>
              <w:spacing w:line="360" w:lineRule="auto"/>
              <w:jc w:val="left"/>
              <w:rPr>
                <w:rFonts w:hAnsi="宋体" w:cs="宋体"/>
                <w:sz w:val="24"/>
                <w:szCs w:val="24"/>
              </w:rPr>
            </w:pPr>
          </w:p>
        </w:tc>
        <w:tc>
          <w:tcPr>
            <w:tcW w:w="1264"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930"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numPr>
          <w:ilvl w:val="0"/>
          <w:numId w:val="6"/>
        </w:numPr>
        <w:jc w:val="left"/>
        <w:rPr>
          <w:rFonts w:hint="eastAsia"/>
          <w:sz w:val="28"/>
          <w:szCs w:val="28"/>
          <w:lang w:eastAsia="zh-CN"/>
        </w:rPr>
      </w:pPr>
      <w:r>
        <w:rPr>
          <w:rFonts w:hint="eastAsia" w:ascii="宋体" w:hAnsi="宋体" w:eastAsia="宋体" w:cs="宋体"/>
          <w:sz w:val="28"/>
          <w:szCs w:val="28"/>
        </w:rPr>
        <w:t>投标人认为有必要补充说明的相关</w:t>
      </w:r>
      <w:r>
        <w:rPr>
          <w:rFonts w:hint="eastAsia" w:hAnsi="宋体" w:cs="宋体"/>
          <w:sz w:val="28"/>
          <w:szCs w:val="28"/>
          <w:lang w:eastAsia="zh-CN"/>
        </w:rPr>
        <w:t>信息</w:t>
      </w:r>
    </w:p>
    <w:p>
      <w:pPr>
        <w:ind w:firstLine="1600" w:firstLineChars="500"/>
        <w:rPr>
          <w:rFonts w:hint="eastAsia" w:hAnsi="宋体"/>
          <w:sz w:val="32"/>
          <w:szCs w:val="32"/>
        </w:rPr>
      </w:pPr>
    </w:p>
    <w:p>
      <w:pPr>
        <w:ind w:firstLine="1600" w:firstLineChars="500"/>
        <w:rPr>
          <w:rFonts w:hint="eastAsia" w:hAnsi="宋体"/>
          <w:sz w:val="32"/>
          <w:szCs w:val="32"/>
        </w:rPr>
      </w:pPr>
    </w:p>
    <w:p>
      <w:pPr>
        <w:ind w:firstLine="1600" w:firstLineChars="500"/>
        <w:rPr>
          <w:rFonts w:hint="eastAsia" w:hAnsi="宋体"/>
          <w:sz w:val="32"/>
          <w:szCs w:val="32"/>
        </w:rPr>
      </w:pPr>
    </w:p>
    <w:p>
      <w:pPr>
        <w:ind w:firstLine="1600" w:firstLineChars="500"/>
        <w:rPr>
          <w:rFonts w:hint="eastAsia" w:hAnsi="宋体"/>
          <w:sz w:val="32"/>
          <w:szCs w:val="32"/>
        </w:rPr>
      </w:pPr>
    </w:p>
    <w:p>
      <w:pPr>
        <w:ind w:firstLine="1600" w:firstLineChars="500"/>
        <w:rPr>
          <w:rFonts w:hint="eastAsia" w:hAnsi="宋体"/>
          <w:sz w:val="32"/>
          <w:szCs w:val="32"/>
        </w:rPr>
      </w:pPr>
    </w:p>
    <w:p>
      <w:pPr>
        <w:ind w:firstLine="1600" w:firstLineChars="500"/>
        <w:rPr>
          <w:rFonts w:hAnsi="宋体"/>
          <w:sz w:val="32"/>
          <w:szCs w:val="32"/>
        </w:rPr>
      </w:pPr>
      <w:r>
        <w:rPr>
          <w:rFonts w:hint="eastAsia" w:hAnsi="宋体"/>
          <w:sz w:val="32"/>
          <w:szCs w:val="32"/>
        </w:rPr>
        <w:t>第四章  招标项目技术、商务及其他要求</w:t>
      </w:r>
    </w:p>
    <w:p>
      <w:pPr>
        <w:pStyle w:val="3"/>
        <w:rPr>
          <w:rFonts w:hint="default"/>
          <w:lang w:val="en-US" w:eastAsia="zh-CN"/>
        </w:rPr>
      </w:pPr>
      <w:r>
        <w:rPr>
          <w:rFonts w:hint="eastAsia"/>
          <w:lang w:val="en-US" w:eastAsia="zh-CN"/>
        </w:rPr>
        <w:t xml:space="preserve">  </w:t>
      </w:r>
    </w:p>
    <w:tbl>
      <w:tblPr>
        <w:tblStyle w:val="21"/>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widowControl/>
              <w:spacing w:line="360" w:lineRule="auto"/>
              <w:jc w:val="center"/>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名称</w:t>
            </w:r>
          </w:p>
        </w:tc>
        <w:tc>
          <w:tcPr>
            <w:tcW w:w="8080" w:type="dxa"/>
          </w:tcPr>
          <w:p>
            <w:pPr>
              <w:widowControl/>
              <w:spacing w:line="360" w:lineRule="auto"/>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技术</w:t>
            </w:r>
            <w:r>
              <w:rPr>
                <w:rFonts w:ascii="Times New Roman" w:hAnsi="Times New Roman" w:eastAsia="宋体" w:cs="Times New Roman"/>
                <w:b/>
                <w:kern w:val="0"/>
                <w:sz w:val="24"/>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服务总体要求</w:t>
            </w:r>
          </w:p>
        </w:tc>
        <w:tc>
          <w:tcPr>
            <w:tcW w:w="8080" w:type="dxa"/>
          </w:tcPr>
          <w:p>
            <w:pPr>
              <w:widowControl/>
              <w:spacing w:before="19" w:line="357" w:lineRule="auto"/>
              <w:ind w:right="48"/>
              <w:rPr>
                <w:rFonts w:ascii="Times New Roman" w:hAnsi="Times New Roman" w:eastAsia="宋体" w:cs="Times New Roman"/>
                <w:sz w:val="24"/>
                <w:szCs w:val="21"/>
              </w:rPr>
            </w:pPr>
            <w:bookmarkStart w:id="97" w:name="_Toc7528221"/>
            <w:bookmarkStart w:id="98" w:name="_Toc6216012"/>
            <w:r>
              <w:rPr>
                <w:rFonts w:ascii="Times New Roman" w:hAnsi="Times New Roman" w:eastAsia="宋体" w:cs="Times New Roman"/>
                <w:sz w:val="24"/>
                <w:szCs w:val="21"/>
              </w:rPr>
              <w:t>1.服务供应商应擅长视频拍摄制作，且具有教育行业服务经验，了解教学规律、熟悉互联网教学应用。本项目负责人具有丰富的课程体系建设理念和经验，且具有普通高等学校精品在线开放课程建设项目经历。</w:t>
            </w:r>
          </w:p>
          <w:p>
            <w:pPr>
              <w:widowControl/>
              <w:spacing w:before="19" w:line="357" w:lineRule="auto"/>
              <w:ind w:right="48"/>
              <w:rPr>
                <w:rFonts w:ascii="Times New Roman" w:hAnsi="Times New Roman" w:eastAsia="宋体" w:cs="Times New Roman"/>
                <w:sz w:val="24"/>
                <w:szCs w:val="21"/>
              </w:rPr>
            </w:pPr>
            <w:r>
              <w:rPr>
                <w:rFonts w:ascii="Times New Roman" w:hAnsi="Times New Roman" w:eastAsia="宋体" w:cs="Times New Roman"/>
                <w:sz w:val="24"/>
                <w:szCs w:val="21"/>
              </w:rPr>
              <w:t>2.能够为</w:t>
            </w:r>
            <w:r>
              <w:rPr>
                <w:rFonts w:hint="eastAsia" w:ascii="Times New Roman" w:hAnsi="Times New Roman" w:eastAsia="宋体" w:cs="Times New Roman"/>
                <w:sz w:val="24"/>
                <w:szCs w:val="21"/>
              </w:rPr>
              <w:t>学校</w:t>
            </w:r>
            <w:r>
              <w:rPr>
                <w:rFonts w:ascii="Times New Roman" w:hAnsi="Times New Roman" w:eastAsia="宋体" w:cs="Times New Roman"/>
                <w:sz w:val="24"/>
                <w:szCs w:val="21"/>
              </w:rPr>
              <w:t>配备人数规模合适、稳定、高效的专业化团队，包括课程设计咨询服务、视频拍摄制作及课程运行推广等各环节的团队。团队人员配置应保证满足课程建设过程中的各项要求。</w:t>
            </w:r>
          </w:p>
          <w:p>
            <w:pPr>
              <w:widowControl/>
              <w:spacing w:before="19" w:line="357" w:lineRule="auto"/>
              <w:ind w:right="48"/>
              <w:rPr>
                <w:rFonts w:ascii="Times New Roman" w:hAnsi="Times New Roman" w:eastAsia="宋体" w:cs="Times New Roman"/>
                <w:sz w:val="24"/>
                <w:szCs w:val="21"/>
              </w:rPr>
            </w:pPr>
            <w:r>
              <w:rPr>
                <w:rFonts w:ascii="Times New Roman" w:hAnsi="Times New Roman" w:eastAsia="宋体" w:cs="Times New Roman"/>
                <w:sz w:val="24"/>
                <w:szCs w:val="21"/>
              </w:rPr>
              <w:t>3.团队成员综合素质高，具有独到的艺术理念，能够满足精品在线开放课程 的制作要求和视听美感。</w:t>
            </w:r>
          </w:p>
          <w:p>
            <w:pPr>
              <w:widowControl/>
              <w:spacing w:before="19" w:line="357" w:lineRule="auto"/>
              <w:ind w:right="48"/>
              <w:rPr>
                <w:rFonts w:ascii="Times New Roman" w:hAnsi="Times New Roman" w:eastAsia="宋体" w:cs="Times New Roman"/>
                <w:sz w:val="24"/>
                <w:szCs w:val="21"/>
              </w:rPr>
            </w:pPr>
            <w:r>
              <w:rPr>
                <w:rFonts w:ascii="Times New Roman" w:hAnsi="Times New Roman" w:eastAsia="宋体" w:cs="Times New Roman"/>
                <w:sz w:val="24"/>
                <w:szCs w:val="21"/>
              </w:rPr>
              <w:t>4.</w:t>
            </w:r>
            <w:r>
              <w:rPr>
                <w:rFonts w:hint="eastAsia" w:ascii="Times New Roman" w:hAnsi="Times New Roman" w:eastAsia="宋体" w:cs="Times New Roman"/>
                <w:sz w:val="24"/>
                <w:szCs w:val="21"/>
              </w:rPr>
              <w:t xml:space="preserve"> 服务供应商</w:t>
            </w:r>
            <w:r>
              <w:rPr>
                <w:rFonts w:ascii="Times New Roman" w:hAnsi="Times New Roman" w:eastAsia="宋体" w:cs="Times New Roman"/>
                <w:sz w:val="24"/>
                <w:szCs w:val="21"/>
              </w:rPr>
              <w:t>能够积极配合</w:t>
            </w:r>
            <w:r>
              <w:rPr>
                <w:rFonts w:hint="eastAsia" w:ascii="Times New Roman" w:hAnsi="Times New Roman" w:eastAsia="宋体" w:cs="Times New Roman"/>
                <w:sz w:val="24"/>
                <w:szCs w:val="21"/>
              </w:rPr>
              <w:t>学校方</w:t>
            </w:r>
            <w:r>
              <w:rPr>
                <w:rFonts w:ascii="Times New Roman" w:hAnsi="Times New Roman" w:eastAsia="宋体" w:cs="Times New Roman"/>
                <w:sz w:val="24"/>
                <w:szCs w:val="21"/>
              </w:rPr>
              <w:t>的课程建设要求执行相关工作，响应速度快，服务精准到位，且免费提供因课程完善而进行的课程修改补拍服务，确保最终成片效果。</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5</w:t>
            </w:r>
            <w:r>
              <w:rPr>
                <w:rFonts w:ascii="Times New Roman" w:hAnsi="Times New Roman" w:eastAsia="宋体" w:cs="Times New Roman"/>
                <w:sz w:val="24"/>
                <w:szCs w:val="21"/>
              </w:rPr>
              <w:t>.根据课程建设需要，视频拍摄须提供多种拍摄场地，在成都市主城区内具备</w:t>
            </w:r>
            <w:r>
              <w:rPr>
                <w:rFonts w:hint="eastAsia" w:ascii="Times New Roman" w:hAnsi="Times New Roman" w:eastAsia="宋体" w:cs="Times New Roman"/>
                <w:sz w:val="24"/>
                <w:szCs w:val="21"/>
                <w:lang w:val="en-US" w:eastAsia="zh-CN"/>
              </w:rPr>
              <w:t>2</w:t>
            </w:r>
            <w:r>
              <w:rPr>
                <w:rFonts w:ascii="Times New Roman" w:hAnsi="Times New Roman" w:eastAsia="宋体" w:cs="Times New Roman"/>
                <w:sz w:val="24"/>
                <w:szCs w:val="21"/>
              </w:rPr>
              <w:t>个以上专业拍摄摄影棚。录制现场要求光线充足，必要情况下要求补光，需根据课程特色进行教学场景的设计及布景。</w:t>
            </w:r>
          </w:p>
          <w:bookmarkEnd w:id="97"/>
          <w:bookmarkEnd w:id="98"/>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★6</w:t>
            </w:r>
            <w:r>
              <w:rPr>
                <w:rFonts w:ascii="Times New Roman" w:hAnsi="Times New Roman" w:eastAsia="宋体" w:cs="Times New Roman"/>
                <w:sz w:val="24"/>
                <w:szCs w:val="21"/>
              </w:rPr>
              <w:t>.</w:t>
            </w:r>
            <w:r>
              <w:rPr>
                <w:rFonts w:hint="eastAsia" w:ascii="Times New Roman" w:hAnsi="Times New Roman" w:eastAsia="宋体" w:cs="Times New Roman"/>
                <w:sz w:val="24"/>
                <w:szCs w:val="21"/>
              </w:rPr>
              <w:t>信息安全及知识产权保护。严格遵守国家网络与信息安全管理规范，禁止网络有害信息传播，重视版权和知识产权问题，课程建成后知识产权归属校</w:t>
            </w:r>
            <w:r>
              <w:rPr>
                <w:rFonts w:hint="eastAsia" w:ascii="Times New Roman" w:hAnsi="Times New Roman" w:eastAsia="宋体" w:cs="Times New Roman"/>
                <w:sz w:val="24"/>
                <w:szCs w:val="21"/>
                <w:lang w:val="en-US" w:eastAsia="zh-CN"/>
              </w:rPr>
              <w:t>方</w:t>
            </w:r>
            <w:r>
              <w:rPr>
                <w:rFonts w:hint="eastAsia" w:ascii="Times New Roman" w:hAnsi="Times New Roman" w:eastAsia="宋体" w:cs="Times New Roman"/>
                <w:sz w:val="24"/>
                <w:szCs w:val="21"/>
              </w:rPr>
              <w:t>，课程建设中制作方提供的所有资料应具有完整知识产权，所使用的第三方图片、音视频资源应标明出处，保证不侵犯第三方利益。</w:t>
            </w:r>
          </w:p>
          <w:p>
            <w:pPr>
              <w:widowControl/>
              <w:spacing w:before="19" w:line="357" w:lineRule="auto"/>
              <w:ind w:right="48"/>
              <w:jc w:val="left"/>
              <w:rPr>
                <w:rFonts w:ascii="Times New Roman" w:hAnsi="Times New Roman" w:eastAsia="宋体"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widowControl/>
              <w:spacing w:line="360" w:lineRule="auto"/>
              <w:jc w:val="center"/>
              <w:rPr>
                <w:rFonts w:ascii="Times New Roman" w:hAnsi="Times New Roman" w:eastAsia="宋体" w:cs="Times New Roman"/>
                <w:b/>
                <w:kern w:val="0"/>
                <w:sz w:val="24"/>
                <w:szCs w:val="21"/>
              </w:rPr>
            </w:pPr>
            <w:r>
              <w:rPr>
                <w:rFonts w:hint="eastAsia" w:ascii="Times New Roman" w:hAnsi="Times New Roman" w:eastAsia="宋体" w:cs="Times New Roman"/>
                <w:kern w:val="0"/>
                <w:sz w:val="24"/>
                <w:szCs w:val="21"/>
              </w:rPr>
              <w:t>课程设计咨询服务要求</w:t>
            </w:r>
          </w:p>
        </w:tc>
        <w:tc>
          <w:tcPr>
            <w:tcW w:w="8080" w:type="dxa"/>
          </w:tcPr>
          <w:p>
            <w:pPr>
              <w:widowControl/>
              <w:spacing w:before="19" w:line="357" w:lineRule="auto"/>
              <w:ind w:right="48"/>
              <w:jc w:val="left"/>
              <w:rPr>
                <w:rFonts w:ascii="Times New Roman" w:hAnsi="Times New Roman" w:eastAsia="宋体" w:cs="Times New Roman"/>
                <w:sz w:val="24"/>
                <w:szCs w:val="21"/>
              </w:rPr>
            </w:pPr>
            <w:r>
              <w:rPr>
                <w:rFonts w:ascii="Times New Roman" w:hAnsi="Times New Roman" w:eastAsia="宋体" w:cs="Times New Roman"/>
                <w:sz w:val="24"/>
                <w:szCs w:val="21"/>
              </w:rPr>
              <w:t>配备专业课程顾问，协助课程教师根据课程的教学目标和学科特点，合理、有序的设计知识单元和拆分、配置知识点及技能点，进行课程拍摄规划等。具体如下：</w:t>
            </w:r>
          </w:p>
          <w:p>
            <w:pPr>
              <w:widowControl/>
              <w:spacing w:before="36"/>
              <w:ind w:left="137" w:right="48"/>
              <w:jc w:val="left"/>
              <w:rPr>
                <w:rFonts w:ascii="Times New Roman" w:hAnsi="Times New Roman" w:eastAsia="宋体" w:cs="Times New Roman"/>
                <w:sz w:val="24"/>
                <w:szCs w:val="21"/>
              </w:rPr>
            </w:pPr>
            <w:r>
              <w:rPr>
                <w:rFonts w:ascii="Times New Roman" w:hAnsi="Times New Roman" w:eastAsia="宋体" w:cs="Times New Roman"/>
                <w:sz w:val="24"/>
                <w:szCs w:val="21"/>
              </w:rPr>
              <w:t>1.协助教师团队分析课程，完成课程标准、课程设计及实施方案。</w:t>
            </w:r>
          </w:p>
          <w:p>
            <w:pPr>
              <w:widowControl/>
              <w:spacing w:before="135" w:line="338" w:lineRule="auto"/>
              <w:ind w:left="137" w:right="48"/>
              <w:jc w:val="left"/>
              <w:rPr>
                <w:rFonts w:ascii="Times New Roman" w:hAnsi="Times New Roman" w:eastAsia="宋体" w:cs="Times New Roman"/>
                <w:sz w:val="24"/>
                <w:szCs w:val="21"/>
              </w:rPr>
            </w:pPr>
            <w:r>
              <w:rPr>
                <w:rFonts w:ascii="Times New Roman" w:hAnsi="Times New Roman" w:eastAsia="宋体" w:cs="Times New Roman"/>
                <w:sz w:val="24"/>
                <w:szCs w:val="21"/>
              </w:rPr>
              <w:t>2.协助教师团队对课程知识点进行设计。各知识点采用微课视频形式，协助教师团队进行视频脚本设计。</w:t>
            </w:r>
          </w:p>
          <w:p>
            <w:pPr>
              <w:widowControl/>
              <w:spacing w:before="55"/>
              <w:ind w:left="137" w:right="48"/>
              <w:jc w:val="left"/>
              <w:rPr>
                <w:rFonts w:ascii="Times New Roman" w:hAnsi="Times New Roman" w:eastAsia="宋体" w:cs="Times New Roman"/>
                <w:sz w:val="24"/>
                <w:szCs w:val="21"/>
              </w:rPr>
            </w:pPr>
            <w:r>
              <w:rPr>
                <w:rFonts w:ascii="Times New Roman" w:hAnsi="Times New Roman" w:eastAsia="宋体" w:cs="Times New Roman"/>
                <w:sz w:val="24"/>
                <w:szCs w:val="21"/>
              </w:rPr>
              <w:t>3.协助教师团队完成课程的框架设计、资源的组织与运用。</w:t>
            </w:r>
          </w:p>
          <w:p>
            <w:pPr>
              <w:widowControl/>
              <w:spacing w:before="135" w:line="348" w:lineRule="auto"/>
              <w:ind w:left="137" w:right="48"/>
              <w:jc w:val="left"/>
              <w:rPr>
                <w:rFonts w:ascii="Times New Roman" w:hAnsi="Times New Roman" w:eastAsia="宋体" w:cs="Times New Roman"/>
                <w:sz w:val="24"/>
                <w:szCs w:val="21"/>
              </w:rPr>
            </w:pPr>
            <w:r>
              <w:rPr>
                <w:rFonts w:ascii="Times New Roman" w:hAnsi="Times New Roman" w:eastAsia="宋体" w:cs="Times New Roman"/>
                <w:sz w:val="24"/>
                <w:szCs w:val="21"/>
              </w:rPr>
              <w:t>4.协助教师团队制作与课程相关的数字教学</w:t>
            </w:r>
            <w:r>
              <w:rPr>
                <w:rFonts w:hint="eastAsia" w:ascii="Times New Roman" w:hAnsi="Times New Roman" w:eastAsia="宋体" w:cs="Times New Roman"/>
                <w:sz w:val="24"/>
                <w:szCs w:val="21"/>
              </w:rPr>
              <w:t>拓展</w:t>
            </w:r>
            <w:r>
              <w:rPr>
                <w:rFonts w:ascii="Times New Roman" w:hAnsi="Times New Roman" w:eastAsia="宋体" w:cs="Times New Roman"/>
                <w:sz w:val="24"/>
                <w:szCs w:val="21"/>
              </w:rPr>
              <w:t>资源。包括电子教案、幻灯片、 教学大纲、微课视频、课程笔记、作业测验题和讨论主题等。能提供与课程制作相关的图书、视频等课程拓展资源</w:t>
            </w:r>
            <w:r>
              <w:rPr>
                <w:rFonts w:hint="eastAsia" w:ascii="Times New Roman" w:hAnsi="Times New Roman" w:eastAsia="宋体"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Align w:val="center"/>
          </w:tcPr>
          <w:p>
            <w:pPr>
              <w:widowControl/>
              <w:spacing w:line="360" w:lineRule="auto"/>
              <w:jc w:val="center"/>
              <w:rPr>
                <w:rFonts w:ascii="Times New Roman" w:hAnsi="Times New Roman" w:eastAsia="宋体" w:cs="Times New Roman"/>
                <w:b/>
                <w:kern w:val="0"/>
                <w:sz w:val="24"/>
                <w:szCs w:val="21"/>
              </w:rPr>
            </w:pPr>
            <w:r>
              <w:rPr>
                <w:rFonts w:ascii="Times New Roman" w:hAnsi="Times New Roman" w:eastAsia="宋体" w:cs="Times New Roman"/>
                <w:kern w:val="0"/>
                <w:sz w:val="24"/>
                <w:szCs w:val="21"/>
              </w:rPr>
              <w:t>课程拍摄要求</w:t>
            </w:r>
          </w:p>
        </w:tc>
        <w:tc>
          <w:tcPr>
            <w:tcW w:w="8080" w:type="dxa"/>
          </w:tcPr>
          <w:p>
            <w:pPr>
              <w:widowControl/>
              <w:spacing w:before="19" w:line="357" w:lineRule="auto"/>
              <w:ind w:right="48"/>
              <w:jc w:val="left"/>
              <w:rPr>
                <w:rFonts w:ascii="Times New Roman" w:hAnsi="Times New Roman" w:eastAsia="宋体" w:cs="Times New Roman"/>
                <w:sz w:val="24"/>
                <w:szCs w:val="21"/>
              </w:rPr>
            </w:pPr>
            <w:r>
              <w:rPr>
                <w:rFonts w:ascii="Times New Roman" w:hAnsi="Times New Roman" w:eastAsia="宋体" w:cs="Times New Roman"/>
                <w:sz w:val="24"/>
                <w:szCs w:val="21"/>
              </w:rPr>
              <w:t>1.拍摄准备</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1）为满足实际课程拍摄的需要，投标人需至少提供以下 8 种拍摄模式供课程负责老师选择：</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①大屏</w:t>
            </w:r>
            <w:r>
              <w:rPr>
                <w:rFonts w:ascii="Times New Roman" w:hAnsi="Times New Roman" w:eastAsia="宋体" w:cs="Times New Roman"/>
                <w:sz w:val="24"/>
                <w:szCs w:val="21"/>
              </w:rPr>
              <w:t xml:space="preserve"> PPT 模式：在摄影棚内拍摄，全程 PPT 演示可展示教学素材；</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②实景访谈模式：在摄影棚内摆拍根据访谈人数，设定机位数</w:t>
            </w:r>
            <w:r>
              <w:rPr>
                <w:rFonts w:ascii="Times New Roman" w:hAnsi="Times New Roman" w:eastAsia="宋体" w:cs="Times New Roman"/>
                <w:sz w:val="24"/>
                <w:szCs w:val="21"/>
              </w:rPr>
              <w:t>一般2-3</w:t>
            </w:r>
            <w:r>
              <w:rPr>
                <w:rFonts w:hint="eastAsia" w:ascii="Times New Roman" w:hAnsi="Times New Roman" w:eastAsia="宋体" w:cs="Times New Roman"/>
                <w:sz w:val="24"/>
                <w:szCs w:val="21"/>
                <w:lang w:val="en-US" w:eastAsia="zh-CN"/>
              </w:rPr>
              <w:t>个</w:t>
            </w:r>
            <w:r>
              <w:rPr>
                <w:rFonts w:ascii="Times New Roman" w:hAnsi="Times New Roman" w:eastAsia="宋体" w:cs="Times New Roman"/>
                <w:sz w:val="24"/>
                <w:szCs w:val="21"/>
              </w:rPr>
              <w:t>机位，教学过程由多位老师交流讨论完成。适合启发性的、思维拓展和发散的学科课程；</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③实景演示模式：在摄影棚内多机位拍摄</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rPr>
              <w:t>通过实际操作演示完成教学过程；</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④黑白背模式：在摄影棚内按照脚本设计完成课程拍摄，后期配动态背景可</w:t>
            </w:r>
            <w:r>
              <w:rPr>
                <w:rFonts w:ascii="Times New Roman" w:hAnsi="Times New Roman" w:eastAsia="宋体" w:cs="Times New Roman"/>
                <w:sz w:val="24"/>
                <w:szCs w:val="21"/>
              </w:rPr>
              <w:t xml:space="preserve"> 以根据老师讲课风格特点增加课程趣味性；</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⑤虚拟抠像模式：老师在基地摄影棚内完成虚拟背景拍摄，后期用抠像模式</w:t>
            </w:r>
            <w:r>
              <w:rPr>
                <w:rFonts w:ascii="Times New Roman" w:hAnsi="Times New Roman" w:eastAsia="宋体" w:cs="Times New Roman"/>
                <w:sz w:val="24"/>
                <w:szCs w:val="21"/>
              </w:rPr>
              <w:t xml:space="preserve"> 展现课程，可根据课程特点加入各种风格的背景等；</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⑥真人动画模式：在摄影棚内按照脚本设</w:t>
            </w:r>
            <w:r>
              <w:rPr>
                <w:rFonts w:ascii="Times New Roman" w:hAnsi="Times New Roman" w:eastAsia="宋体" w:cs="Times New Roman"/>
                <w:sz w:val="24"/>
                <w:szCs w:val="21"/>
              </w:rPr>
              <w:t>计完成课程拍摄，后期配动画可以 根据老师讲课风格特点增加课程趣味性；</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⑦完全动画模式：老师根据讲稿在基地摄影棚内完成高音质录音，后期用动</w:t>
            </w:r>
            <w:r>
              <w:rPr>
                <w:rFonts w:ascii="Times New Roman" w:hAnsi="Times New Roman" w:eastAsia="宋体" w:cs="Times New Roman"/>
                <w:sz w:val="24"/>
                <w:szCs w:val="21"/>
              </w:rPr>
              <w:t xml:space="preserve"> 画模式展现课程，可根据课程特点加入诙谐幽默等风格的配音动画等；</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⑧外景模式：选择特定的拍摄场地，高品质音效、画面同步录制。教学过程</w:t>
            </w:r>
            <w:r>
              <w:rPr>
                <w:rFonts w:ascii="Times New Roman" w:hAnsi="Times New Roman" w:eastAsia="宋体" w:cs="Times New Roman"/>
                <w:sz w:val="24"/>
                <w:szCs w:val="21"/>
              </w:rPr>
              <w:t xml:space="preserve"> 由一位老师讲解或多位老师和学生互动、交流讨论完成，适合启发性的、思维拓展和发散的学科课程。</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2）根据拍摄技术标准和课程内容，设计贴合教师授课特点的拍摄形式， 与教师沟通说明拍摄要求，并为教师提供专业的妆容、着装意见。</w:t>
            </w:r>
          </w:p>
          <w:p>
            <w:pPr>
              <w:widowControl/>
              <w:spacing w:before="19" w:line="357" w:lineRule="auto"/>
              <w:ind w:right="48"/>
              <w:jc w:val="left"/>
              <w:rPr>
                <w:rFonts w:ascii="Times New Roman" w:hAnsi="Times New Roman" w:eastAsia="宋体" w:cs="Times New Roman"/>
                <w:sz w:val="24"/>
                <w:szCs w:val="21"/>
              </w:rPr>
            </w:pPr>
            <w:r>
              <w:rPr>
                <w:rFonts w:ascii="Times New Roman" w:hAnsi="Times New Roman" w:eastAsia="宋体" w:cs="Times New Roman"/>
                <w:sz w:val="24"/>
                <w:szCs w:val="21"/>
              </w:rPr>
              <w:t>2.拍摄实施</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1）配备专业拍摄人员，具备丰富的课程视频拍摄经验，能够灵活处理拍摄过程中的各类问题。</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2）根据商定的拍摄方式，布置拍摄环境，及时联系教师，确定拍摄场地和时间。能够调动教师情绪，以确保教师在录制过程中保持最佳精神状态。</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3）设备要求：</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录像设备：使用</w:t>
            </w:r>
            <w:r>
              <w:rPr>
                <w:rFonts w:ascii="Times New Roman" w:hAnsi="Times New Roman" w:eastAsia="宋体" w:cs="Times New Roman"/>
                <w:sz w:val="24"/>
                <w:szCs w:val="21"/>
              </w:rPr>
              <w:t>2台以上专业级高清数字设备，保证设备能正常完成拍摄任 务。所用摄像机分辨率不低于 1920×1080，录制视频宽高比 16:9，视频帧率为 25 帧/秒。画面清晰、通透，曝光正确、适度，色彩还原准确。节目图像连续、 无缺失，没有与课程内容无关的跳动、闪烁或马赛克等异常现象，图像的明暗、</w:t>
            </w:r>
            <w:r>
              <w:rPr>
                <w:rFonts w:hint="eastAsia" w:ascii="Times New Roman" w:hAnsi="Times New Roman" w:eastAsia="宋体" w:cs="Times New Roman"/>
                <w:sz w:val="24"/>
                <w:szCs w:val="21"/>
              </w:rPr>
              <w:t>色彩和层次应与节目内容相对应。在同一门课程中标清和高清格式不得混用。</w:t>
            </w:r>
            <w:r>
              <w:rPr>
                <w:rFonts w:ascii="Times New Roman" w:hAnsi="Times New Roman" w:eastAsia="宋体" w:cs="Times New Roman"/>
                <w:sz w:val="24"/>
                <w:szCs w:val="21"/>
              </w:rPr>
              <w:t xml:space="preserve"> 收音设备：使用 3 个专业领夹收声设备，保证教师和学生发言的录音质量。</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监听设备：监听耳机</w:t>
            </w:r>
            <w:r>
              <w:rPr>
                <w:rFonts w:ascii="Times New Roman" w:hAnsi="Times New Roman" w:eastAsia="宋体" w:cs="Times New Roman"/>
                <w:sz w:val="24"/>
                <w:szCs w:val="21"/>
              </w:rPr>
              <w:t xml:space="preserve"> 3 副。 录音设备：根据课程内容要求，使用专业级话筒，保证主讲教师及与课程相</w:t>
            </w:r>
            <w:r>
              <w:rPr>
                <w:rFonts w:hint="eastAsia" w:ascii="Times New Roman" w:hAnsi="Times New Roman" w:eastAsia="宋体" w:cs="Times New Roman"/>
                <w:sz w:val="24"/>
                <w:szCs w:val="21"/>
              </w:rPr>
              <w:t>关人员声音清晰。</w:t>
            </w:r>
            <w:r>
              <w:rPr>
                <w:rFonts w:ascii="Times New Roman" w:hAnsi="Times New Roman" w:eastAsia="宋体" w:cs="Times New Roman"/>
                <w:sz w:val="24"/>
                <w:szCs w:val="21"/>
              </w:rPr>
              <w:t xml:space="preserve"> </w:t>
            </w:r>
          </w:p>
          <w:p>
            <w:pPr>
              <w:widowControl/>
              <w:spacing w:before="19" w:line="357" w:lineRule="auto"/>
              <w:ind w:right="48"/>
              <w:jc w:val="left"/>
              <w:rPr>
                <w:rFonts w:ascii="Times New Roman" w:hAnsi="Times New Roman" w:eastAsia="宋体" w:cs="Times New Roman"/>
                <w:sz w:val="24"/>
                <w:szCs w:val="21"/>
              </w:rPr>
            </w:pPr>
            <w:r>
              <w:rPr>
                <w:rFonts w:ascii="Times New Roman" w:hAnsi="Times New Roman" w:eastAsia="宋体" w:cs="Times New Roman"/>
                <w:sz w:val="24"/>
                <w:szCs w:val="21"/>
              </w:rPr>
              <w:t>存储设备：专业储存设备及有效容量应能保证正常完成拍摄任务。</w:t>
            </w:r>
          </w:p>
          <w:p>
            <w:pPr>
              <w:widowControl/>
              <w:spacing w:before="19" w:line="357" w:lineRule="auto"/>
              <w:ind w:right="48"/>
              <w:jc w:val="left"/>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4）场记：安排课程专员或者老师根据现场录制实际情况记录场记。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widowControl/>
              <w:spacing w:line="360" w:lineRule="auto"/>
              <w:jc w:val="center"/>
              <w:rPr>
                <w:rFonts w:ascii="Times New Roman" w:hAnsi="Times New Roman" w:eastAsia="宋体" w:cs="Times New Roman"/>
                <w:b/>
                <w:kern w:val="0"/>
                <w:sz w:val="24"/>
                <w:szCs w:val="21"/>
              </w:rPr>
            </w:pPr>
            <w:r>
              <w:rPr>
                <w:rFonts w:hint="eastAsia" w:ascii="Times New Roman" w:hAnsi="Times New Roman" w:eastAsia="宋体" w:cs="Times New Roman"/>
                <w:kern w:val="0"/>
                <w:sz w:val="24"/>
                <w:szCs w:val="21"/>
              </w:rPr>
              <w:t>课程制作要求</w:t>
            </w:r>
          </w:p>
        </w:tc>
        <w:tc>
          <w:tcPr>
            <w:tcW w:w="8080" w:type="dxa"/>
          </w:tcPr>
          <w:p>
            <w:pPr>
              <w:widowControl/>
              <w:spacing w:before="154" w:line="338" w:lineRule="auto"/>
              <w:ind w:left="137" w:right="134"/>
              <w:rPr>
                <w:rFonts w:ascii="Times New Roman" w:hAnsi="Times New Roman" w:eastAsia="宋体" w:cs="Times New Roman"/>
                <w:sz w:val="24"/>
                <w:szCs w:val="21"/>
              </w:rPr>
            </w:pPr>
            <w:r>
              <w:rPr>
                <w:rFonts w:ascii="Times New Roman" w:hAnsi="Times New Roman" w:eastAsia="宋体" w:cs="Times New Roman"/>
                <w:sz w:val="24"/>
                <w:szCs w:val="21"/>
              </w:rPr>
              <w:t>1.使用专业的非线性编辑系统对源视频进行最基本的处理（如抠像、颜色校正、双声道处理）。使用专业的视频编辑系统进行视频降噪、音频降噪。</w:t>
            </w:r>
          </w:p>
          <w:p>
            <w:pPr>
              <w:widowControl/>
              <w:spacing w:before="55" w:line="348" w:lineRule="auto"/>
              <w:ind w:left="137" w:right="134"/>
              <w:rPr>
                <w:rFonts w:ascii="Times New Roman" w:hAnsi="Times New Roman" w:eastAsia="宋体" w:cs="Times New Roman"/>
                <w:sz w:val="24"/>
                <w:szCs w:val="21"/>
              </w:rPr>
            </w:pPr>
            <w:r>
              <w:rPr>
                <w:rFonts w:ascii="Times New Roman" w:hAnsi="Times New Roman" w:eastAsia="宋体" w:cs="Times New Roman"/>
                <w:sz w:val="24"/>
                <w:szCs w:val="21"/>
              </w:rPr>
              <w:t>2.按照拍摄方案，不同的拍摄方式采用不同的制作方式。（如 PPT 模式需分章节剪辑，基地访谈模式按照老师讲解的内容变换机位，真人动画模式设计平面以及动画，完全动画模式按照详细的制作脚本完成动画设计制作等。）</w:t>
            </w:r>
          </w:p>
          <w:p>
            <w:pPr>
              <w:widowControl/>
              <w:spacing w:before="46" w:line="338" w:lineRule="auto"/>
              <w:ind w:left="137" w:right="132"/>
              <w:rPr>
                <w:rFonts w:ascii="Times New Roman" w:hAnsi="Times New Roman" w:eastAsia="宋体" w:cs="Times New Roman"/>
                <w:sz w:val="24"/>
                <w:szCs w:val="21"/>
              </w:rPr>
            </w:pPr>
            <w:r>
              <w:rPr>
                <w:rFonts w:ascii="Times New Roman" w:hAnsi="Times New Roman" w:eastAsia="宋体" w:cs="Times New Roman"/>
                <w:sz w:val="24"/>
                <w:szCs w:val="21"/>
              </w:rPr>
              <w:t>3.片头：使用专业的后期合成软件进行片头设计：根据每个课题的内容设计出相关联的内容元素，片头不超过 10 秒，包括: 学院 LOGO、课程名称、讲次、主讲教师姓名、专业技术职务、单位等信息。</w:t>
            </w:r>
          </w:p>
          <w:p>
            <w:pPr>
              <w:widowControl/>
              <w:spacing w:before="27" w:line="338" w:lineRule="auto"/>
              <w:ind w:left="137" w:right="134"/>
              <w:rPr>
                <w:rFonts w:ascii="Times New Roman" w:hAnsi="Times New Roman" w:eastAsia="宋体" w:cs="Times New Roman"/>
                <w:sz w:val="24"/>
                <w:szCs w:val="21"/>
              </w:rPr>
            </w:pPr>
            <w:r>
              <w:rPr>
                <w:rFonts w:ascii="Times New Roman" w:hAnsi="Times New Roman" w:eastAsia="宋体" w:cs="Times New Roman"/>
                <w:sz w:val="24"/>
                <w:szCs w:val="21"/>
              </w:rPr>
              <w:t>4.片尾：根据学校的版权所有，制定相关的片尾名单，包括版权单位、制作单位、录制时间等信息。</w:t>
            </w:r>
          </w:p>
          <w:p>
            <w:pPr>
              <w:widowControl/>
              <w:spacing w:before="46" w:line="350" w:lineRule="auto"/>
              <w:ind w:left="137" w:right="134"/>
              <w:rPr>
                <w:rFonts w:ascii="Times New Roman" w:hAnsi="Times New Roman" w:eastAsia="宋体" w:cs="Times New Roman"/>
                <w:sz w:val="24"/>
                <w:szCs w:val="21"/>
              </w:rPr>
            </w:pPr>
            <w:r>
              <w:rPr>
                <w:rFonts w:hint="eastAsia" w:ascii="Times New Roman" w:hAnsi="Times New Roman" w:eastAsia="宋体" w:cs="Times New Roman"/>
                <w:sz w:val="24"/>
                <w:szCs w:val="21"/>
              </w:rPr>
              <w:t>5</w:t>
            </w:r>
            <w:r>
              <w:rPr>
                <w:rFonts w:ascii="Times New Roman" w:hAnsi="Times New Roman" w:eastAsia="宋体" w:cs="Times New Roman"/>
                <w:sz w:val="24"/>
                <w:szCs w:val="21"/>
              </w:rPr>
              <w:t>.课程内容剪辑：技术工程师通篇观看视频，按照章节框架、以及现场场记情况，分章节剪辑老师状态不佳、口误、出境、停顿等片段。实操部分添加必要的背景音乐，保证制作的片花无错误、无硬伤，画面美观，排版规范、逻辑完整。</w:t>
            </w:r>
          </w:p>
          <w:p>
            <w:pPr>
              <w:widowControl/>
              <w:spacing w:before="43" w:line="338" w:lineRule="auto"/>
              <w:ind w:left="137" w:right="134"/>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6</w:t>
            </w:r>
            <w:r>
              <w:rPr>
                <w:rFonts w:ascii="Times New Roman" w:hAnsi="Times New Roman" w:eastAsia="宋体" w:cs="Times New Roman"/>
                <w:sz w:val="24"/>
                <w:szCs w:val="21"/>
              </w:rPr>
              <w:t>.使用专业非线性编辑系统渲染成片：所有内容编辑结束之后，生成成片， 成品为高清制式。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widowControl/>
              <w:spacing w:line="360" w:lineRule="auto"/>
              <w:jc w:val="center"/>
              <w:rPr>
                <w:rFonts w:ascii="Times New Roman" w:hAnsi="Times New Roman" w:eastAsia="宋体" w:cs="Times New Roman"/>
                <w:b/>
                <w:kern w:val="0"/>
                <w:sz w:val="24"/>
                <w:szCs w:val="21"/>
              </w:rPr>
            </w:pPr>
            <w:r>
              <w:rPr>
                <w:rFonts w:hint="eastAsia" w:ascii="Times New Roman" w:hAnsi="Times New Roman" w:eastAsia="宋体" w:cs="Times New Roman"/>
                <w:kern w:val="0"/>
                <w:sz w:val="24"/>
                <w:szCs w:val="21"/>
              </w:rPr>
              <w:t>课程技术指标要求</w:t>
            </w:r>
          </w:p>
        </w:tc>
        <w:tc>
          <w:tcPr>
            <w:tcW w:w="8080" w:type="dxa"/>
          </w:tcPr>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1.视频信号源：</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1）稳定性：全片图像同步性能稳定，无失步现象，CTL 同步控制信号必 须连续；图像无抖动跳跃，色彩无突变，编辑点处图像稳定。</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2）信噪比：图像信噪比不低于 55dB，无明显杂波。</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3）色调：白平衡正确，无明显偏色，多机拍摄的镜头衔接处无明显色差。</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4）视频电平：视频全讯号幅度为 1</w:t>
            </w:r>
            <w:r>
              <w:rPr>
                <w:rFonts w:hint="eastAsia" w:ascii="Times New Roman" w:hAnsi="Times New Roman" w:eastAsia="宋体" w:cs="宋体"/>
                <w:kern w:val="0"/>
                <w:sz w:val="24"/>
                <w:szCs w:val="21"/>
              </w:rPr>
              <w:t>Ⅴ</w:t>
            </w:r>
            <w:r>
              <w:rPr>
                <w:rFonts w:ascii="Times New Roman" w:hAnsi="Times New Roman" w:eastAsia="宋体" w:cs="Times New Roman"/>
                <w:kern w:val="0"/>
                <w:sz w:val="24"/>
                <w:szCs w:val="21"/>
              </w:rPr>
              <w:t>p-p，最大不超过 1.1</w:t>
            </w:r>
            <w:r>
              <w:rPr>
                <w:rFonts w:hint="eastAsia" w:ascii="Times New Roman" w:hAnsi="Times New Roman" w:eastAsia="宋体" w:cs="宋体"/>
                <w:kern w:val="0"/>
                <w:sz w:val="24"/>
                <w:szCs w:val="21"/>
              </w:rPr>
              <w:t>Ⅴ</w:t>
            </w:r>
            <w:r>
              <w:rPr>
                <w:rFonts w:ascii="Times New Roman" w:hAnsi="Times New Roman" w:eastAsia="宋体" w:cs="Times New Roman"/>
                <w:kern w:val="0"/>
                <w:sz w:val="24"/>
                <w:szCs w:val="21"/>
              </w:rPr>
              <w:t xml:space="preserve"> p-p。其中， 消隐电平为 0V 时，白电平幅度 0.7</w:t>
            </w:r>
            <w:r>
              <w:rPr>
                <w:rFonts w:hint="eastAsia" w:ascii="Times New Roman" w:hAnsi="Times New Roman" w:eastAsia="宋体" w:cs="宋体"/>
                <w:kern w:val="0"/>
                <w:sz w:val="24"/>
                <w:szCs w:val="21"/>
              </w:rPr>
              <w:t>Ⅴ</w:t>
            </w:r>
            <w:r>
              <w:rPr>
                <w:rFonts w:ascii="Times New Roman" w:hAnsi="Times New Roman" w:eastAsia="宋体" w:cs="Times New Roman"/>
                <w:kern w:val="0"/>
                <w:sz w:val="24"/>
                <w:szCs w:val="21"/>
              </w:rPr>
              <w:t>p-p，同步信号-0.3V，色同步信号幅度 0.3V p-p (以消隐线上下对称)，全片一致。</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2.音频信号源:</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1）声道：中文内容音频信号记录于第 1 声道，音乐、音效、同期声记录</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于第</w:t>
            </w:r>
            <w:r>
              <w:rPr>
                <w:rFonts w:ascii="Times New Roman" w:hAnsi="Times New Roman" w:eastAsia="宋体" w:cs="Times New Roman"/>
                <w:kern w:val="0"/>
                <w:sz w:val="24"/>
                <w:szCs w:val="21"/>
              </w:rPr>
              <w:t xml:space="preserve"> 2 声道，若有其他文字解说记录于第 3 声道（如录音设备无第 3 声道，则</w:t>
            </w:r>
            <w:r>
              <w:rPr>
                <w:rFonts w:hint="eastAsia" w:ascii="Times New Roman" w:hAnsi="Times New Roman" w:eastAsia="宋体" w:cs="Times New Roman"/>
                <w:kern w:val="0"/>
                <w:sz w:val="24"/>
                <w:szCs w:val="21"/>
              </w:rPr>
              <w:t>录于第</w:t>
            </w:r>
            <w:r>
              <w:rPr>
                <w:rFonts w:ascii="Times New Roman" w:hAnsi="Times New Roman" w:eastAsia="宋体" w:cs="Times New Roman"/>
                <w:kern w:val="0"/>
                <w:sz w:val="24"/>
                <w:szCs w:val="21"/>
              </w:rPr>
              <w:t xml:space="preserve"> 2 声道）。</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2）电平指标：-2db  — -8db 声音应无明显失真、放音过冲、过弱。</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3）音频信噪比不低于 48db。</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4）声音和画面要求同步，无交流声或其他杂音等缺陷。</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5）伴音清晰、饱满、圆润，无失真、噪声杂音干扰、音量忽大忽小现象。 解说声与现场声无明显比例失调，解说声与背景音乐无明显比例失调。</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3.视、音频交付文件：</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1）所有视频文件及相应的 SRT 字幕文件应提交两种格式，一是按压缩和封装要求的格式，另一种是未压缩处理生成的原始文件，分别存于硬盘不同文件夹一并提交。</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2）每门课程的全部素材（包括动画）及非编工程文件应按原始格式需要保留备份，并按拍摄制作时间顺序编号提交硬盘，便于再次编辑。并在盘面上注明该盘所含课程信息（讲次、标题及主讲教师、时长等信息）。</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3）素材硬盘：不低于以下配置：2T 台式机 2000G 64M SATA3 硬盘；成片硬盘：2T/2000G 64MB SATA3。</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4.视频压缩格式及技术参数：</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1）视频压缩采用 H.264/AVC (MPEG-4 Part10)编码、使用二次编码、不包 含字幕的 MP4 格式。</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码流的最高码率不高于</w:t>
            </w:r>
            <w:r>
              <w:rPr>
                <w:rFonts w:ascii="Times New Roman" w:hAnsi="Times New Roman" w:eastAsia="宋体" w:cs="Times New Roman"/>
                <w:kern w:val="0"/>
                <w:sz w:val="24"/>
                <w:szCs w:val="21"/>
              </w:rPr>
              <w:t xml:space="preserve"> 2500Kbps，最低码率不得低于 1024Kbps。</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3）视频分辨率为1080p：采用高清16:9拍摄，设定为1920×1080。</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4）视频画幅宽高比：分辨率设定为1920×1080，选定16:9。</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5）视频帧率为25 帧/秒。</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6）扫描方式采用逐行扫描。</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5.音频压缩格式及技术参数：</w:t>
            </w:r>
          </w:p>
          <w:p>
            <w:pPr>
              <w:widowControl/>
              <w:spacing w:line="360" w:lineRule="auto"/>
              <w:jc w:val="left"/>
              <w:rPr>
                <w:rFonts w:hint="eastAsia" w:ascii="Times New Roman" w:hAnsi="Times New Roman" w:eastAsia="宋体" w:cs="Times New Roman"/>
                <w:kern w:val="0"/>
                <w:sz w:val="24"/>
                <w:szCs w:val="21"/>
                <w:lang w:eastAsia="zh-CN"/>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1）音频压缩采用AAC(MPEG4 Part3)格式</w:t>
            </w:r>
            <w:r>
              <w:rPr>
                <w:rFonts w:hint="eastAsia" w:ascii="Times New Roman" w:hAnsi="Times New Roman" w:eastAsia="宋体" w:cs="Times New Roman"/>
                <w:kern w:val="0"/>
                <w:sz w:val="24"/>
                <w:szCs w:val="21"/>
                <w:lang w:eastAsia="zh-CN"/>
              </w:rPr>
              <w:t>；</w:t>
            </w:r>
          </w:p>
          <w:p>
            <w:pPr>
              <w:widowControl/>
              <w:spacing w:line="360" w:lineRule="auto"/>
              <w:jc w:val="left"/>
              <w:rPr>
                <w:rFonts w:hint="eastAsia" w:ascii="Times New Roman" w:hAnsi="Times New Roman" w:eastAsia="宋体" w:cs="Times New Roman"/>
                <w:kern w:val="0"/>
                <w:sz w:val="24"/>
                <w:szCs w:val="21"/>
                <w:lang w:eastAsia="zh-CN"/>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2）采样率48KHz</w:t>
            </w:r>
            <w:r>
              <w:rPr>
                <w:rFonts w:hint="eastAsia" w:ascii="Times New Roman" w:hAnsi="Times New Roman" w:eastAsia="宋体" w:cs="Times New Roman"/>
                <w:kern w:val="0"/>
                <w:sz w:val="24"/>
                <w:szCs w:val="21"/>
                <w:lang w:eastAsia="zh-CN"/>
              </w:rPr>
              <w:t>；</w:t>
            </w:r>
          </w:p>
          <w:p>
            <w:pPr>
              <w:widowControl/>
              <w:spacing w:line="360" w:lineRule="auto"/>
              <w:jc w:val="left"/>
              <w:rPr>
                <w:rFonts w:hint="eastAsia" w:ascii="Times New Roman" w:hAnsi="Times New Roman" w:eastAsia="宋体" w:cs="Times New Roman"/>
                <w:kern w:val="0"/>
                <w:sz w:val="24"/>
                <w:szCs w:val="21"/>
                <w:lang w:eastAsia="zh-CN"/>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3）音频码流率128Kbps (恒定)</w:t>
            </w:r>
            <w:r>
              <w:rPr>
                <w:rFonts w:hint="eastAsia" w:ascii="Times New Roman" w:hAnsi="Times New Roman" w:eastAsia="宋体" w:cs="Times New Roman"/>
                <w:kern w:val="0"/>
                <w:sz w:val="24"/>
                <w:szCs w:val="21"/>
                <w:lang w:eastAsia="zh-CN"/>
              </w:rPr>
              <w:t>；</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4）双声道，做混音、压限等优化音频的处理。</w:t>
            </w:r>
          </w:p>
          <w:p>
            <w:pPr>
              <w:widowControl/>
              <w:spacing w:line="360" w:lineRule="auto"/>
              <w:jc w:val="left"/>
              <w:rPr>
                <w:rFonts w:hint="eastAsia" w:ascii="Times New Roman" w:hAnsi="Times New Roman" w:eastAsia="宋体" w:cs="Times New Roman"/>
                <w:kern w:val="0"/>
                <w:sz w:val="24"/>
                <w:szCs w:val="21"/>
                <w:lang w:eastAsia="zh-CN"/>
              </w:rPr>
            </w:pPr>
            <w:r>
              <w:rPr>
                <w:rFonts w:ascii="Times New Roman" w:hAnsi="Times New Roman" w:eastAsia="宋体" w:cs="Times New Roman"/>
                <w:kern w:val="0"/>
                <w:sz w:val="24"/>
                <w:szCs w:val="21"/>
              </w:rPr>
              <w:t>6.封装：采用 MP4 封装</w:t>
            </w:r>
            <w:r>
              <w:rPr>
                <w:rFonts w:hint="eastAsia" w:ascii="Times New Roman" w:hAnsi="Times New Roman" w:eastAsia="宋体" w:cs="Times New Roman"/>
                <w:kern w:val="0"/>
                <w:sz w:val="24"/>
                <w:szCs w:val="21"/>
                <w:lang w:eastAsia="zh-CN"/>
              </w:rPr>
              <w:t>。</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7.外挂字幕文件：</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1）字幕文件格式：独立的 SRT 格式的唱词文件。</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2）唱词的行数要求：每屏只有一行唱词。采用非中文教学的课程须配置外挂双语唱词，一版为中文唱词，一版为外文唱词。</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3）唱词的字数要求：每行不超过 20 个字。</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4）唱词的位置：确保每屏唱词出现位置一致。</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5）唱词中的标点符号：只有书名号及书名号中的标点、间隔号、连接号、 具有特殊含意的词语的引号可以出现在唱词中，在每屏唱词中用空格代替标点表示语气停顿，所有标点及空格均使用全角。</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6）唱词的断句：不简单按照字数断句，以内容为断句依据。</w:t>
            </w:r>
          </w:p>
          <w:p>
            <w:pPr>
              <w:widowControl/>
              <w:spacing w:line="360" w:lineRule="auto"/>
              <w:jc w:val="left"/>
              <w:rPr>
                <w:rFonts w:hint="eastAsia" w:ascii="Times New Roman" w:hAnsi="Times New Roman" w:eastAsia="宋体" w:cs="Times New Roman"/>
                <w:kern w:val="0"/>
                <w:sz w:val="24"/>
                <w:szCs w:val="21"/>
                <w:lang w:eastAsia="zh-CN"/>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7）唱词中的数学公式、化学分子式、物理量和单位，尽量以文本文字呈现；不宜用文本文字呈现的、且在视频画面中已经通过 PPT、板书等方式显示清楚的，可以不加该行唱词</w:t>
            </w:r>
            <w:r>
              <w:rPr>
                <w:rFonts w:hint="eastAsia" w:ascii="Times New Roman" w:hAnsi="Times New Roman" w:eastAsia="宋体" w:cs="Times New Roman"/>
                <w:kern w:val="0"/>
                <w:sz w:val="24"/>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widowControl/>
              <w:spacing w:line="360" w:lineRule="auto"/>
              <w:jc w:val="center"/>
              <w:rPr>
                <w:rFonts w:ascii="Times New Roman" w:hAnsi="Times New Roman" w:eastAsia="宋体" w:cs="Times New Roman"/>
                <w:b/>
                <w:kern w:val="0"/>
                <w:sz w:val="24"/>
                <w:szCs w:val="21"/>
              </w:rPr>
            </w:pPr>
            <w:r>
              <w:rPr>
                <w:rFonts w:hint="eastAsia" w:ascii="Times New Roman" w:hAnsi="Times New Roman" w:eastAsia="宋体" w:cs="Times New Roman"/>
                <w:kern w:val="0"/>
                <w:sz w:val="24"/>
                <w:szCs w:val="21"/>
              </w:rPr>
              <w:t>课程校内运行以及推广要求</w:t>
            </w:r>
          </w:p>
        </w:tc>
        <w:tc>
          <w:tcPr>
            <w:tcW w:w="8080" w:type="dxa"/>
          </w:tcPr>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建成的课程不仅要满足学校教学使用需求，还要具有校内翻转课堂的运行以及在线开放课程运行的要求，具体满足以下要求：</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1.呈现方式要符合和满足移动学习和教师混合式教学的需求，课程能够完整上线运行，支持开展在线学习与课堂教学相结合、翻转课堂等多种方式的课堂教学模式。</w:t>
            </w:r>
          </w:p>
          <w:p>
            <w:pPr>
              <w:widowControl/>
              <w:spacing w:line="360" w:lineRule="auto"/>
              <w:jc w:val="left"/>
              <w:rPr>
                <w:rFonts w:ascii="Times New Roman" w:hAnsi="Times New Roman" w:eastAsia="宋体" w:cs="Times New Roman"/>
                <w:b/>
                <w:bCs/>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2.可在课程视频中随意插入随堂测验，方便学生即学即练。插入的测验题包含单选题、多选题、对错题或填空等形式。并能够对学生回答情况进行及时统计，以便于老师随时考查学生对教学内容的理解和掌握程度。</w:t>
            </w:r>
            <w:r>
              <w:rPr>
                <w:rFonts w:ascii="Times New Roman" w:hAnsi="Times New Roman" w:eastAsia="宋体" w:cs="Times New Roman"/>
                <w:b/>
                <w:bCs/>
                <w:kern w:val="0"/>
                <w:sz w:val="24"/>
                <w:szCs w:val="21"/>
              </w:rPr>
              <w:t>（需提供功能截图，并加盖供应商公章）</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3.课程考核分为平时考核和课程考试两个部分。其中平时考核主要考查学生在线学习情况，能够对学生在线学习情况进行统计和分析；课程考试则是检测学生课程阶段性、整体学习情况的正式测验题，可以包括客观题和主观题，数量不限，并可进行成绩统计与分析。考试题目一经发布将不允许修改，发布前需确保考试内容核查无误。</w:t>
            </w:r>
          </w:p>
          <w:p>
            <w:pPr>
              <w:widowControl/>
              <w:spacing w:line="360" w:lineRule="auto"/>
              <w:jc w:val="left"/>
              <w:rPr>
                <w:rFonts w:ascii="Times New Roman" w:hAnsi="Times New Roman" w:eastAsia="宋体" w:cs="Times New Roman"/>
                <w:b/>
                <w:bCs/>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4.课程资源支持添加到校内教师教学空间：教师用户可将校内资源库内资源添加至慕课课程中（共享资料），用以建课使用。资源直接对接到教师建课中，或者直接可以课堂调取资源，教师建课时可直接使用资源库资源，使资源不再孤立。</w:t>
            </w:r>
            <w:r>
              <w:rPr>
                <w:rFonts w:ascii="Times New Roman" w:hAnsi="Times New Roman" w:eastAsia="宋体" w:cs="Times New Roman"/>
                <w:b/>
                <w:bCs/>
                <w:kern w:val="0"/>
                <w:sz w:val="24"/>
                <w:szCs w:val="21"/>
              </w:rPr>
              <w:t>（需提供功能截图，并加盖供应商公章）</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5.教师可通过平台上传课程所需要的教材、参考书、参考文献、视频等资源。课程的内容建设，参考资料，课程介绍等任何位置都可以使用平台提供的海量图书。</w:t>
            </w:r>
            <w:r>
              <w:rPr>
                <w:rFonts w:ascii="Times New Roman" w:hAnsi="Times New Roman" w:eastAsia="宋体" w:cs="Times New Roman"/>
                <w:b/>
                <w:bCs/>
                <w:kern w:val="0"/>
                <w:sz w:val="24"/>
                <w:szCs w:val="21"/>
              </w:rPr>
              <w:t>（需提供功能截图，并加盖供应商公章）</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6.建成课程的颗粒资源如图片、视频的资源支持一键式搜索插入，插入的资源可以直接点击在线播放查阅，也支持自己上传资料，支持无缝对接引用我校图书馆发现资源系统和联盟共享资源。</w:t>
            </w:r>
            <w:r>
              <w:rPr>
                <w:rFonts w:ascii="Times New Roman" w:hAnsi="Times New Roman" w:eastAsia="宋体" w:cs="Times New Roman"/>
                <w:b/>
                <w:bCs/>
                <w:kern w:val="0"/>
                <w:sz w:val="24"/>
                <w:szCs w:val="21"/>
              </w:rPr>
              <w:t>（需提供功能截图，并加盖供应商公章）</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7.支持移动学习</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①课程建成后可支持移动学习，能够支持</w:t>
            </w:r>
            <w:r>
              <w:rPr>
                <w:rFonts w:ascii="Times New Roman" w:hAnsi="Times New Roman" w:eastAsia="宋体" w:cs="Times New Roman"/>
                <w:kern w:val="0"/>
                <w:sz w:val="24"/>
                <w:szCs w:val="21"/>
              </w:rPr>
              <w:t xml:space="preserve"> iOS 和 Android 两大在主流操作系统，同时满足手机、平板电脑等智能移动终端使用。移动学习端需具备独立APP，能够实现互动、浏览、社交、学分管理等功能。</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▲②支持课堂教学活动中的无线投屏和课程互动：如课堂签到、投屏、抢答、选人、测验、投票、多屏互动、讨论、课堂报告等功能。</w:t>
            </w:r>
            <w:r>
              <w:rPr>
                <w:rFonts w:hint="eastAsia" w:ascii="Times New Roman" w:hAnsi="Times New Roman" w:eastAsia="宋体" w:cs="Times New Roman"/>
                <w:b/>
                <w:bCs/>
                <w:kern w:val="0"/>
                <w:sz w:val="24"/>
                <w:szCs w:val="21"/>
              </w:rPr>
              <w:t>（需提供功能截图，并加盖供应商公章）</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③具备在线学习管理模块，支持发布通知公告，并可以跟踪记录并统计基于每个学生的学习进度、课程登录次数、学习材料浏览和下载次数、作业和测试完成情况、在线时长、视频观看的遍数、参加答疑讨论的情况等多项学习考核指标。方便教师进行人员添加删减及教学内容增减调整。</w:t>
            </w:r>
            <w:r>
              <w:rPr>
                <w:rFonts w:hint="eastAsia" w:ascii="Times New Roman" w:hAnsi="Times New Roman" w:eastAsia="宋体" w:cs="Times New Roman"/>
                <w:b/>
                <w:bCs/>
                <w:kern w:val="0"/>
                <w:sz w:val="24"/>
                <w:szCs w:val="21"/>
              </w:rPr>
              <w:t>（需提供功能截图，并加盖供应商公章）</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④具备学生学习工具模块，包括书签、学生学习记录、网上搜索、学生作品展示等工具，方便学生了解自己当前的学习状况，及时对学习目标、学习计划做出调整，也方便教师掌握每个学生的学习情况。</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⑤具备网络学习答疑模块，使教师与学生能及时交流、答疑。</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8.拓展学习</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▲①能够提供丰富且具有完全知识产权的电子教材、文献、数据、视频等素材，教师在进行课程建设、备课、授课过程中随时可以搜索、引用、无缝插入。</w:t>
            </w:r>
            <w:r>
              <w:rPr>
                <w:rFonts w:hint="eastAsia" w:ascii="Times New Roman" w:hAnsi="Times New Roman" w:eastAsia="宋体" w:cs="Times New Roman"/>
                <w:b/>
                <w:bCs/>
                <w:kern w:val="0"/>
                <w:sz w:val="24"/>
                <w:szCs w:val="21"/>
              </w:rPr>
              <w:t>（需提供功能截图，并加盖供应商公章）</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▲②具有知识点拓展阅读功能，可以根据一个关键词自动生成相关知识点的知识树，插入到课程单元中，并自动推送知识点相关的图书、期刊、论文等资料，以便于学生拓展学习。</w:t>
            </w:r>
            <w:r>
              <w:rPr>
                <w:rFonts w:hint="eastAsia" w:ascii="Times New Roman" w:hAnsi="Times New Roman" w:eastAsia="宋体" w:cs="Times New Roman"/>
                <w:b/>
                <w:bCs/>
                <w:kern w:val="0"/>
                <w:sz w:val="24"/>
                <w:szCs w:val="21"/>
              </w:rPr>
              <w:t>（需提供功能截图，并加盖供应商公章）</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▲③能够提供课程运行报告，包含课程教学运行报告，其中包括</w:t>
            </w:r>
            <w:r>
              <w:rPr>
                <w:rFonts w:ascii="Times New Roman" w:hAnsi="Times New Roman" w:eastAsia="宋体" w:cs="Times New Roman"/>
                <w:kern w:val="0"/>
                <w:sz w:val="24"/>
                <w:szCs w:val="21"/>
              </w:rPr>
              <w:t xml:space="preserve"> mooc 课程开课情况数据：课程建设、课程运行、在线学习、课程成绩；学生调查数据：课程整体满意度、教学运行测评、网络情况；学生反馈及运行过程展示：学生评价及期望、课程运行过程展示、新闻报道；单节视频观看时长数据分析等。</w:t>
            </w:r>
          </w:p>
          <w:p>
            <w:pPr>
              <w:widowControl/>
              <w:spacing w:line="360" w:lineRule="auto"/>
              <w:jc w:val="left"/>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9.供应商具有丰富的在线开放课程运行推广经验，在课程拍摄制作完成后，根据采购人课程建设运行需要，供应商应完善课程并上传到自有国家精品在线开放课程申报平台，在全国范围内进行推广，为采购人申报四川省省级、国家级精品在线开放课程提供数据保障</w:t>
            </w:r>
            <w:r>
              <w:rPr>
                <w:rFonts w:ascii="Times New Roman" w:hAnsi="Times New Roman" w:eastAsia="宋体" w:cs="Times New Roman"/>
                <w:b/>
                <w:bCs/>
                <w:kern w:val="0"/>
                <w:sz w:val="24"/>
                <w:szCs w:val="21"/>
              </w:rPr>
              <w:t>（提供该平台为供应商自有平台的证明材料）</w:t>
            </w:r>
            <w:r>
              <w:rPr>
                <w:rFonts w:ascii="Times New Roman" w:hAnsi="Times New Roman" w:eastAsia="宋体" w:cs="Times New Roman"/>
                <w:kern w:val="0"/>
                <w:sz w:val="24"/>
                <w:szCs w:val="21"/>
              </w:rPr>
              <w:t>。</w:t>
            </w:r>
          </w:p>
        </w:tc>
      </w:tr>
    </w:tbl>
    <w:p>
      <w:pPr>
        <w:pStyle w:val="2"/>
        <w:numPr>
          <w:ilvl w:val="4"/>
          <w:numId w:val="0"/>
        </w:numPr>
        <w:rPr>
          <w:b w:val="0"/>
          <w:bCs/>
        </w:rPr>
      </w:pPr>
      <w:r>
        <w:rPr>
          <w:rFonts w:hint="eastAsia"/>
          <w:b w:val="0"/>
          <w:bCs/>
          <w:lang w:eastAsia="zh-CN"/>
        </w:rPr>
        <w:t>商务要求（实质性要求）</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1.服务期限：在合同签订后 3 个月内完成课程视频拍摄且验收合格、提交成品</w:t>
      </w:r>
      <w:r>
        <w:rPr>
          <w:rFonts w:hint="eastAsia" w:ascii="Times New Roman" w:hAnsi="Times New Roman" w:eastAsia="宋体" w:cs="Times New Roman"/>
          <w:kern w:val="0"/>
          <w:sz w:val="24"/>
          <w:szCs w:val="21"/>
        </w:rPr>
        <w:t>。（服务期限</w:t>
      </w:r>
      <w:r>
        <w:rPr>
          <w:rFonts w:ascii="Times New Roman" w:hAnsi="Times New Roman" w:eastAsia="宋体" w:cs="Times New Roman"/>
          <w:kern w:val="0"/>
          <w:sz w:val="24"/>
          <w:szCs w:val="21"/>
        </w:rPr>
        <w:t>自验收合格之日起生效，时间为1年</w:t>
      </w:r>
      <w:r>
        <w:rPr>
          <w:rFonts w:hint="eastAsia" w:ascii="Times New Roman" w:hAnsi="Times New Roman" w:eastAsia="宋体" w:cs="Times New Roman"/>
          <w:kern w:val="0"/>
          <w:sz w:val="24"/>
          <w:szCs w:val="21"/>
        </w:rPr>
        <w:t>）</w:t>
      </w:r>
    </w:p>
    <w:p>
      <w:pPr>
        <w:widowControl/>
        <w:spacing w:line="360" w:lineRule="auto"/>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2.服务地点：采购人指定地点</w:t>
      </w:r>
    </w:p>
    <w:p>
      <w:pPr>
        <w:spacing w:line="360" w:lineRule="auto"/>
        <w:rPr>
          <w:rFonts w:hint="eastAsia"/>
        </w:rPr>
      </w:pPr>
      <w:r>
        <w:rPr>
          <w:rFonts w:ascii="Times New Roman" w:hAnsi="Times New Roman" w:eastAsia="宋体" w:cs="Times New Roman"/>
          <w:kern w:val="0"/>
          <w:sz w:val="24"/>
          <w:szCs w:val="21"/>
        </w:rPr>
        <w:t>3.付款方式：合同签订后 10 个工作日内，支付合同金额 60%作为预付款；作品</w:t>
      </w:r>
      <w:r>
        <w:rPr>
          <w:rFonts w:hint="eastAsia" w:ascii="Times New Roman" w:hAnsi="Times New Roman" w:eastAsia="宋体" w:cs="Times New Roman"/>
          <w:kern w:val="0"/>
          <w:sz w:val="24"/>
          <w:szCs w:val="21"/>
        </w:rPr>
        <w:t>完成交付</w:t>
      </w:r>
      <w:r>
        <w:rPr>
          <w:rFonts w:ascii="Times New Roman" w:hAnsi="Times New Roman" w:eastAsia="宋体" w:cs="Times New Roman"/>
          <w:kern w:val="0"/>
          <w:sz w:val="24"/>
          <w:szCs w:val="21"/>
        </w:rPr>
        <w:t>后，支付合同总金额的 40%。</w:t>
      </w:r>
    </w:p>
    <w:p>
      <w:pPr>
        <w:pStyle w:val="3"/>
      </w:pPr>
    </w:p>
    <w:p>
      <w:pPr>
        <w:pStyle w:val="4"/>
        <w:snapToGrid w:val="0"/>
        <w:spacing w:before="0" w:after="0" w:line="240" w:lineRule="auto"/>
        <w:ind w:firstLine="2891" w:firstLineChars="900"/>
        <w:rPr>
          <w:rFonts w:hAnsi="宋体"/>
          <w:sz w:val="32"/>
          <w:szCs w:val="32"/>
        </w:rPr>
      </w:pPr>
    </w:p>
    <w:p>
      <w:pPr>
        <w:pStyle w:val="4"/>
        <w:numPr>
          <w:ilvl w:val="0"/>
          <w:numId w:val="0"/>
        </w:numPr>
        <w:snapToGrid w:val="0"/>
        <w:spacing w:before="0" w:after="0" w:line="240" w:lineRule="auto"/>
        <w:ind w:firstLine="2891" w:firstLineChars="900"/>
        <w:rPr>
          <w:rFonts w:hint="eastAsia" w:hAnsi="宋体"/>
          <w:sz w:val="32"/>
          <w:szCs w:val="32"/>
          <w:lang w:eastAsia="zh-CN"/>
        </w:rPr>
      </w:pPr>
    </w:p>
    <w:p>
      <w:pPr>
        <w:pStyle w:val="4"/>
        <w:numPr>
          <w:ilvl w:val="0"/>
          <w:numId w:val="0"/>
        </w:numPr>
        <w:snapToGrid w:val="0"/>
        <w:spacing w:before="0" w:after="0" w:line="240" w:lineRule="auto"/>
        <w:ind w:firstLine="2891" w:firstLineChars="900"/>
        <w:rPr>
          <w:rFonts w:hint="eastAsia" w:hAnsi="宋体"/>
          <w:sz w:val="32"/>
          <w:szCs w:val="32"/>
          <w:lang w:eastAsia="zh-CN"/>
        </w:rPr>
      </w:pPr>
    </w:p>
    <w:p>
      <w:pPr>
        <w:pStyle w:val="4"/>
        <w:numPr>
          <w:ilvl w:val="0"/>
          <w:numId w:val="0"/>
        </w:numPr>
        <w:snapToGrid w:val="0"/>
        <w:spacing w:before="0" w:after="0" w:line="240" w:lineRule="auto"/>
        <w:ind w:firstLine="2891" w:firstLineChars="900"/>
        <w:rPr>
          <w:rFonts w:hint="eastAsia" w:hAnsi="宋体"/>
          <w:sz w:val="32"/>
          <w:szCs w:val="32"/>
          <w:lang w:eastAsia="zh-CN"/>
        </w:rPr>
      </w:pPr>
    </w:p>
    <w:p>
      <w:pPr>
        <w:pStyle w:val="4"/>
        <w:numPr>
          <w:ilvl w:val="0"/>
          <w:numId w:val="0"/>
        </w:numPr>
        <w:snapToGrid w:val="0"/>
        <w:spacing w:before="0" w:after="0" w:line="240" w:lineRule="auto"/>
        <w:ind w:firstLine="2891" w:firstLineChars="900"/>
        <w:rPr>
          <w:rFonts w:hint="eastAsia" w:hAnsi="宋体"/>
          <w:sz w:val="32"/>
          <w:szCs w:val="32"/>
          <w:lang w:eastAsia="zh-CN"/>
        </w:rPr>
      </w:pPr>
    </w:p>
    <w:p>
      <w:pPr>
        <w:pStyle w:val="4"/>
        <w:numPr>
          <w:ilvl w:val="0"/>
          <w:numId w:val="0"/>
        </w:numPr>
        <w:snapToGrid w:val="0"/>
        <w:spacing w:before="0" w:after="0" w:line="240" w:lineRule="auto"/>
        <w:ind w:firstLine="2891" w:firstLineChars="900"/>
        <w:rPr>
          <w:rFonts w:hint="eastAsia" w:hAnsi="宋体"/>
          <w:sz w:val="32"/>
          <w:szCs w:val="32"/>
          <w:lang w:eastAsia="zh-CN"/>
        </w:rPr>
      </w:pPr>
    </w:p>
    <w:p>
      <w:pPr>
        <w:pStyle w:val="4"/>
        <w:numPr>
          <w:ilvl w:val="0"/>
          <w:numId w:val="0"/>
        </w:numPr>
        <w:snapToGrid w:val="0"/>
        <w:spacing w:before="0" w:after="0" w:line="240" w:lineRule="auto"/>
        <w:ind w:firstLine="2891" w:firstLineChars="900"/>
        <w:rPr>
          <w:rFonts w:hint="eastAsia" w:hAnsi="宋体"/>
          <w:sz w:val="32"/>
          <w:szCs w:val="32"/>
          <w:lang w:eastAsia="zh-CN"/>
        </w:rPr>
      </w:pPr>
    </w:p>
    <w:p>
      <w:pPr>
        <w:pStyle w:val="4"/>
        <w:numPr>
          <w:ilvl w:val="0"/>
          <w:numId w:val="0"/>
        </w:numPr>
        <w:snapToGrid w:val="0"/>
        <w:spacing w:before="0" w:after="0" w:line="240" w:lineRule="auto"/>
        <w:ind w:firstLine="2891" w:firstLineChars="900"/>
        <w:rPr>
          <w:rFonts w:hint="eastAsia" w:hAnsi="宋体"/>
          <w:sz w:val="32"/>
          <w:szCs w:val="32"/>
          <w:lang w:eastAsia="zh-CN"/>
        </w:rPr>
      </w:pPr>
    </w:p>
    <w:p>
      <w:pPr>
        <w:pStyle w:val="4"/>
        <w:numPr>
          <w:ilvl w:val="0"/>
          <w:numId w:val="0"/>
        </w:numPr>
        <w:snapToGrid w:val="0"/>
        <w:spacing w:before="0" w:after="0" w:line="240" w:lineRule="auto"/>
        <w:ind w:firstLine="2891" w:firstLineChars="900"/>
        <w:rPr>
          <w:rFonts w:hint="eastAsia" w:hAnsi="宋体"/>
          <w:sz w:val="32"/>
          <w:szCs w:val="32"/>
          <w:lang w:eastAsia="zh-CN"/>
        </w:rPr>
      </w:pPr>
    </w:p>
    <w:p>
      <w:pPr>
        <w:pStyle w:val="4"/>
        <w:numPr>
          <w:ilvl w:val="0"/>
          <w:numId w:val="0"/>
        </w:numPr>
        <w:snapToGrid w:val="0"/>
        <w:spacing w:before="0" w:after="0" w:line="240" w:lineRule="auto"/>
        <w:ind w:firstLine="2891" w:firstLineChars="900"/>
        <w:rPr>
          <w:rFonts w:hint="eastAsia" w:hAnsi="宋体"/>
          <w:sz w:val="32"/>
          <w:szCs w:val="32"/>
          <w:lang w:eastAsia="zh-CN"/>
        </w:rPr>
      </w:pPr>
    </w:p>
    <w:p>
      <w:pPr>
        <w:rPr>
          <w:rFonts w:hint="eastAsia" w:hAnsi="宋体"/>
          <w:sz w:val="32"/>
          <w:szCs w:val="32"/>
          <w:lang w:eastAsia="zh-CN"/>
        </w:rPr>
      </w:pPr>
      <w:r>
        <w:rPr>
          <w:rFonts w:hint="eastAsia" w:hAnsi="宋体"/>
          <w:sz w:val="32"/>
          <w:szCs w:val="32"/>
          <w:lang w:eastAsia="zh-CN"/>
        </w:rPr>
        <w:br w:type="page"/>
      </w:r>
    </w:p>
    <w:p>
      <w:pPr>
        <w:pStyle w:val="4"/>
        <w:numPr>
          <w:ilvl w:val="0"/>
          <w:numId w:val="0"/>
        </w:numPr>
        <w:snapToGrid w:val="0"/>
        <w:spacing w:before="0" w:after="0" w:line="240" w:lineRule="auto"/>
        <w:ind w:firstLine="2891" w:firstLineChars="900"/>
        <w:rPr>
          <w:rFonts w:hint="eastAsia" w:hAnsi="宋体"/>
          <w:sz w:val="32"/>
          <w:szCs w:val="32"/>
          <w:lang w:eastAsia="zh-CN"/>
        </w:rPr>
      </w:pPr>
    </w:p>
    <w:p>
      <w:pPr>
        <w:pStyle w:val="4"/>
        <w:numPr>
          <w:ilvl w:val="0"/>
          <w:numId w:val="0"/>
        </w:numPr>
        <w:snapToGrid w:val="0"/>
        <w:spacing w:before="0" w:after="0" w:line="240" w:lineRule="auto"/>
        <w:ind w:firstLine="2891" w:firstLineChars="900"/>
        <w:rPr>
          <w:rFonts w:hint="eastAsia" w:hAnsi="宋体"/>
          <w:sz w:val="32"/>
          <w:szCs w:val="32"/>
        </w:rPr>
      </w:pPr>
      <w:r>
        <w:rPr>
          <w:rFonts w:hint="eastAsia" w:hAnsi="宋体"/>
          <w:sz w:val="32"/>
          <w:szCs w:val="32"/>
          <w:lang w:eastAsia="zh-CN"/>
        </w:rPr>
        <w:t>第五章</w:t>
      </w:r>
      <w:r>
        <w:rPr>
          <w:rFonts w:hint="eastAsia" w:hAnsi="宋体"/>
          <w:sz w:val="32"/>
          <w:szCs w:val="32"/>
          <w:lang w:val="en-US" w:eastAsia="zh-CN"/>
        </w:rPr>
        <w:t xml:space="preserve">    </w:t>
      </w:r>
      <w:r>
        <w:rPr>
          <w:rFonts w:hAnsi="宋体"/>
          <w:sz w:val="32"/>
          <w:szCs w:val="32"/>
        </w:rPr>
        <w:t xml:space="preserve"> </w:t>
      </w:r>
      <w:r>
        <w:rPr>
          <w:rFonts w:hint="eastAsia" w:hAnsi="宋体"/>
          <w:sz w:val="32"/>
          <w:szCs w:val="32"/>
        </w:rPr>
        <w:t>评标办法</w:t>
      </w:r>
    </w:p>
    <w:p>
      <w:pPr>
        <w:pStyle w:val="4"/>
        <w:numPr>
          <w:ilvl w:val="0"/>
          <w:numId w:val="0"/>
        </w:numPr>
        <w:snapToGrid w:val="0"/>
        <w:spacing w:before="0" w:after="0" w:line="240" w:lineRule="auto"/>
        <w:ind w:firstLine="1928" w:firstLineChars="600"/>
        <w:rPr>
          <w:rFonts w:hint="eastAsia" w:hAnsi="宋体" w:eastAsia="宋体"/>
          <w:sz w:val="32"/>
          <w:szCs w:val="32"/>
          <w:lang w:eastAsia="zh-CN"/>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分。招标主要考评因素包括投标报价（</w:t>
      </w:r>
      <w:r>
        <w:rPr>
          <w:rFonts w:hint="eastAsia" w:hAnsi="宋体"/>
          <w:color w:val="000000"/>
          <w:sz w:val="24"/>
          <w:lang w:val="en-US" w:eastAsia="zh-CN"/>
        </w:rPr>
        <w:t>30</w:t>
      </w:r>
      <w:r>
        <w:rPr>
          <w:rFonts w:hAnsi="宋体"/>
          <w:color w:val="000000"/>
          <w:sz w:val="24"/>
        </w:rPr>
        <w:t>%</w:t>
      </w:r>
      <w:r>
        <w:rPr>
          <w:rFonts w:hint="eastAsia" w:hAnsi="宋体"/>
          <w:color w:val="000000"/>
          <w:sz w:val="24"/>
        </w:rPr>
        <w:t>）、技术性能（</w:t>
      </w:r>
      <w:r>
        <w:rPr>
          <w:rFonts w:hint="eastAsia" w:hAnsi="宋体"/>
          <w:color w:val="000000"/>
          <w:sz w:val="24"/>
          <w:lang w:val="en-US" w:eastAsia="zh-CN"/>
        </w:rPr>
        <w:t>40</w:t>
      </w:r>
      <w:r>
        <w:rPr>
          <w:rFonts w:hAnsi="宋体"/>
          <w:color w:val="000000"/>
          <w:sz w:val="24"/>
        </w:rPr>
        <w:t>%</w:t>
      </w:r>
      <w:r>
        <w:rPr>
          <w:rFonts w:hint="eastAsia" w:hAnsi="宋体"/>
          <w:color w:val="000000"/>
          <w:sz w:val="24"/>
        </w:rPr>
        <w:t>）和综合商务部分（</w:t>
      </w:r>
      <w:r>
        <w:rPr>
          <w:rFonts w:hint="eastAsia" w:hAnsi="宋体"/>
          <w:color w:val="000000"/>
          <w:sz w:val="24"/>
          <w:lang w:val="en-US" w:eastAsia="zh-CN"/>
        </w:rPr>
        <w:t>30</w:t>
      </w:r>
      <w:r>
        <w:rPr>
          <w:rFonts w:hAnsi="宋体"/>
          <w:color w:val="000000"/>
          <w:sz w:val="24"/>
        </w:rPr>
        <w:t>%</w:t>
      </w:r>
      <w:r>
        <w:rPr>
          <w:rFonts w:hint="eastAsia" w:hAnsi="宋体"/>
          <w:color w:val="000000"/>
          <w:sz w:val="24"/>
        </w:rPr>
        <w:t>）三个方面，各投标人三方面的所有评价指标得分之和为该投标人的综合得分。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21"/>
        <w:tblW w:w="9358" w:type="dxa"/>
        <w:tblCellSpacing w:w="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0"/>
        <w:gridCol w:w="19"/>
        <w:gridCol w:w="1245"/>
        <w:gridCol w:w="54"/>
        <w:gridCol w:w="215"/>
        <w:gridCol w:w="19"/>
        <w:gridCol w:w="732"/>
        <w:gridCol w:w="27"/>
        <w:gridCol w:w="260"/>
        <w:gridCol w:w="28"/>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评价因素</w:t>
            </w:r>
          </w:p>
        </w:tc>
        <w:tc>
          <w:tcPr>
            <w:tcW w:w="10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权重</w:t>
            </w:r>
          </w:p>
          <w:p>
            <w:pPr>
              <w:adjustRightInd w:val="0"/>
              <w:snapToGrid w:val="0"/>
              <w:spacing w:line="360" w:lineRule="auto"/>
              <w:rPr>
                <w:rFonts w:hAnsi="宋体" w:cs="宋体"/>
                <w:bCs/>
                <w:spacing w:val="8"/>
                <w:sz w:val="24"/>
              </w:rPr>
            </w:pPr>
            <w:r>
              <w:rPr>
                <w:rFonts w:hint="eastAsia" w:hAnsi="宋体" w:cs="宋体"/>
                <w:bCs/>
                <w:spacing w:val="8"/>
                <w:sz w:val="24"/>
              </w:rPr>
              <w:t>（满分）</w:t>
            </w:r>
          </w:p>
        </w:tc>
        <w:tc>
          <w:tcPr>
            <w:tcW w:w="639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1" w:firstLineChars="188"/>
              <w:jc w:val="center"/>
              <w:rPr>
                <w:rFonts w:hAnsi="宋体" w:cs="宋体"/>
                <w:bCs/>
                <w:spacing w:val="8"/>
                <w:sz w:val="24"/>
              </w:rPr>
            </w:pPr>
            <w:r>
              <w:rPr>
                <w:rFonts w:hint="eastAsia" w:hAnsi="宋体" w:cs="宋体"/>
                <w:bCs/>
                <w:spacing w:val="8"/>
                <w:sz w:val="24"/>
              </w:rPr>
              <w:t>评分原则说明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12"/>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一</w:t>
            </w:r>
            <w:r>
              <w:rPr>
                <w:rFonts w:hAnsi="宋体" w:cs="宋体"/>
                <w:bCs/>
                <w:spacing w:val="8"/>
                <w:sz w:val="24"/>
                <w:szCs w:val="24"/>
              </w:rPr>
              <w:t xml:space="preserve"> 、投标报价（满分</w:t>
            </w:r>
            <w:r>
              <w:rPr>
                <w:rFonts w:hint="eastAsia" w:hAnsi="宋体" w:cs="宋体"/>
                <w:bCs/>
                <w:spacing w:val="8"/>
                <w:sz w:val="24"/>
                <w:szCs w:val="24"/>
                <w:lang w:val="en-US" w:eastAsia="zh-CN"/>
              </w:rPr>
              <w:t xml:space="preserve"> 30 </w:t>
            </w:r>
            <w:r>
              <w:rPr>
                <w:rFonts w:hAnsi="宋体" w:cs="宋体"/>
                <w:bCs/>
                <w:spacing w:val="8"/>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73" w:type="dxa"/>
            <w:tcBorders>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543" w:type="dxa"/>
            <w:gridSpan w:val="5"/>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Ansi="宋体" w:cs="宋体"/>
                <w:bCs/>
                <w:spacing w:val="8"/>
                <w:sz w:val="24"/>
                <w:szCs w:val="24"/>
              </w:rPr>
              <w:t>投标报价</w:t>
            </w:r>
            <w:r>
              <w:rPr>
                <w:rFonts w:hint="eastAsia" w:hAnsi="宋体" w:cs="宋体"/>
                <w:bCs/>
                <w:spacing w:val="8"/>
                <w:sz w:val="24"/>
                <w:szCs w:val="24"/>
              </w:rPr>
              <w:t>、备件价格</w:t>
            </w:r>
          </w:p>
        </w:tc>
        <w:tc>
          <w:tcPr>
            <w:tcW w:w="1038" w:type="dxa"/>
            <w:gridSpan w:val="4"/>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30</w:t>
            </w:r>
          </w:p>
        </w:tc>
        <w:tc>
          <w:tcPr>
            <w:tcW w:w="6104" w:type="dxa"/>
            <w:gridSpan w:val="2"/>
            <w:tcBorders>
              <w:left w:val="single" w:color="auto" w:sz="4" w:space="0"/>
            </w:tcBorders>
            <w:vAlign w:val="center"/>
          </w:tcPr>
          <w:p>
            <w:pPr>
              <w:pStyle w:val="8"/>
              <w:rPr>
                <w:rFonts w:hAnsi="宋体" w:cs="宋体"/>
                <w:bCs/>
                <w:spacing w:val="8"/>
                <w:sz w:val="24"/>
                <w:szCs w:val="24"/>
              </w:rPr>
            </w:pPr>
            <w:r>
              <w:rPr>
                <w:rFonts w:hint="eastAsia" w:ascii="Times New Roman" w:hAnsi="Times New Roman" w:eastAsia="宋体" w:cs="Times New Roman"/>
                <w:sz w:val="24"/>
                <w:szCs w:val="24"/>
                <w:lang w:val="en-US" w:eastAsia="zh-CN" w:bidi="ar-SA"/>
              </w:rPr>
              <w:t>满足招标文件要求且投标价格最低的投标报价为评标基准价，其价格分为满分。投标报价得分=(评标基准价/投标报价）*30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12"/>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二</w:t>
            </w:r>
            <w:r>
              <w:rPr>
                <w:rFonts w:hAnsi="宋体" w:cs="宋体"/>
                <w:bCs/>
                <w:spacing w:val="8"/>
                <w:sz w:val="24"/>
                <w:szCs w:val="24"/>
              </w:rPr>
              <w:t>、技术性能（满分</w:t>
            </w:r>
            <w:r>
              <w:rPr>
                <w:rFonts w:hint="eastAsia" w:hAnsi="宋体" w:cs="宋体"/>
                <w:bCs/>
                <w:spacing w:val="8"/>
                <w:sz w:val="24"/>
                <w:szCs w:val="24"/>
                <w:lang w:val="en-US" w:eastAsia="zh-CN"/>
              </w:rPr>
              <w:t xml:space="preserve"> 40 </w:t>
            </w:r>
            <w:r>
              <w:rPr>
                <w:rFonts w:hAnsi="宋体" w:cs="宋体"/>
                <w:bCs/>
                <w:spacing w:val="8"/>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3" w:type="dxa"/>
            <w:gridSpan w:val="2"/>
            <w:tcBorders>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552" w:type="dxa"/>
            <w:gridSpan w:val="5"/>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Ansi="宋体" w:cs="宋体"/>
                <w:bCs/>
                <w:spacing w:val="8"/>
                <w:sz w:val="24"/>
                <w:szCs w:val="24"/>
              </w:rPr>
              <w:t>技术性能</w:t>
            </w:r>
            <w:r>
              <w:rPr>
                <w:rFonts w:hint="eastAsia" w:hAnsi="宋体" w:cs="宋体"/>
                <w:bCs/>
                <w:spacing w:val="8"/>
                <w:sz w:val="24"/>
                <w:szCs w:val="24"/>
              </w:rPr>
              <w:t>、维修、运行</w:t>
            </w:r>
          </w:p>
        </w:tc>
        <w:tc>
          <w:tcPr>
            <w:tcW w:w="1047" w:type="dxa"/>
            <w:gridSpan w:val="4"/>
            <w:tcBorders>
              <w:left w:val="single" w:color="auto" w:sz="4" w:space="0"/>
              <w:right w:val="single" w:color="auto" w:sz="4" w:space="0"/>
            </w:tcBorders>
            <w:vAlign w:val="center"/>
          </w:tcPr>
          <w:p>
            <w:pPr>
              <w:adjustRightInd w:val="0"/>
              <w:snapToGrid w:val="0"/>
              <w:spacing w:line="360" w:lineRule="auto"/>
              <w:jc w:val="center"/>
              <w:rPr>
                <w:rFonts w:hint="default" w:hAnsi="宋体" w:eastAsia="宋体" w:cs="宋体"/>
                <w:bCs/>
                <w:spacing w:val="8"/>
                <w:sz w:val="24"/>
                <w:szCs w:val="24"/>
                <w:lang w:val="en-US" w:eastAsia="zh-CN"/>
              </w:rPr>
            </w:pPr>
            <w:r>
              <w:rPr>
                <w:rFonts w:hint="eastAsia" w:hAnsi="宋体" w:cs="宋体"/>
                <w:bCs/>
                <w:spacing w:val="8"/>
                <w:sz w:val="24"/>
                <w:szCs w:val="24"/>
                <w:lang w:val="en-US" w:eastAsia="zh-CN"/>
              </w:rPr>
              <w:t>40</w:t>
            </w:r>
          </w:p>
        </w:tc>
        <w:tc>
          <w:tcPr>
            <w:tcW w:w="6076" w:type="dxa"/>
            <w:tcBorders>
              <w:left w:val="single" w:color="auto" w:sz="4" w:space="0"/>
            </w:tcBorders>
            <w:vAlign w:val="center"/>
          </w:tcPr>
          <w:p>
            <w:pPr>
              <w:adjustRightInd w:val="0"/>
              <w:snapToGrid w:val="0"/>
              <w:spacing w:line="360" w:lineRule="auto"/>
              <w:rPr>
                <w:rFonts w:hAnsi="宋体" w:cs="宋体"/>
                <w:bCs/>
                <w:spacing w:val="8"/>
                <w:sz w:val="24"/>
                <w:szCs w:val="24"/>
              </w:rPr>
            </w:pPr>
            <w:r>
              <w:rPr>
                <w:rFonts w:hint="eastAsia" w:ascii="Times New Roman" w:hAnsi="Times New Roman" w:eastAsia="宋体"/>
                <w:sz w:val="24"/>
                <w:szCs w:val="24"/>
              </w:rPr>
              <w:t>完全满足技术</w:t>
            </w:r>
            <w:r>
              <w:rPr>
                <w:rFonts w:hint="eastAsia" w:ascii="Times New Roman" w:hAnsi="Times New Roman" w:eastAsia="宋体"/>
                <w:sz w:val="24"/>
                <w:szCs w:val="24"/>
                <w:lang w:val="en-US" w:eastAsia="zh-CN"/>
              </w:rPr>
              <w:t>性能</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维修、运行</w:t>
            </w:r>
            <w:r>
              <w:rPr>
                <w:rFonts w:hint="eastAsia" w:ascii="Times New Roman" w:hAnsi="Times New Roman" w:eastAsia="宋体"/>
                <w:sz w:val="24"/>
                <w:szCs w:val="24"/>
              </w:rPr>
              <w:t>内容得</w:t>
            </w:r>
            <w:r>
              <w:rPr>
                <w:rFonts w:ascii="Times New Roman" w:hAnsi="Times New Roman" w:eastAsia="宋体"/>
                <w:sz w:val="24"/>
                <w:szCs w:val="24"/>
              </w:rPr>
              <w:t>4</w:t>
            </w:r>
            <w:r>
              <w:rPr>
                <w:rFonts w:hint="eastAsia" w:ascii="Times New Roman" w:hAnsi="Times New Roman" w:eastAsia="宋体"/>
                <w:sz w:val="24"/>
                <w:szCs w:val="24"/>
                <w:lang w:val="en-US" w:eastAsia="zh-CN"/>
              </w:rPr>
              <w:t>0</w:t>
            </w:r>
            <w:r>
              <w:rPr>
                <w:rFonts w:hint="eastAsia" w:ascii="Times New Roman" w:hAnsi="Times New Roman" w:eastAsia="宋体"/>
                <w:sz w:val="24"/>
                <w:szCs w:val="24"/>
              </w:rPr>
              <w:t>分：“▲”条款每个不满足者扣</w:t>
            </w:r>
            <w:r>
              <w:rPr>
                <w:rFonts w:ascii="Times New Roman" w:hAnsi="Times New Roman" w:eastAsia="宋体"/>
                <w:sz w:val="24"/>
                <w:szCs w:val="24"/>
              </w:rPr>
              <w:t>3</w:t>
            </w:r>
            <w:r>
              <w:rPr>
                <w:rFonts w:hint="eastAsia" w:ascii="Times New Roman" w:hAnsi="Times New Roman" w:eastAsia="宋体"/>
                <w:sz w:val="24"/>
                <w:szCs w:val="24"/>
              </w:rPr>
              <w:t>分，直至本项分值扣完为止；非“▲”条款每个不满足者扣1分，直至本项分值扣完为止。（上述条款中有要求提供功能截图或证明材料的，需提供功能截图或证明材料并加盖供应商公章，否则作负偏离处理）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358" w:type="dxa"/>
            <w:gridSpan w:val="12"/>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、商务部分（满分 </w:t>
            </w:r>
            <w:r>
              <w:rPr>
                <w:rFonts w:hint="eastAsia" w:hAnsi="宋体" w:cs="宋体"/>
                <w:bCs/>
                <w:spacing w:val="8"/>
                <w:sz w:val="24"/>
                <w:szCs w:val="24"/>
              </w:rPr>
              <w:t>30</w:t>
            </w:r>
            <w:r>
              <w:rPr>
                <w:rFonts w:hAnsi="宋体" w:cs="宋体"/>
                <w:bCs/>
                <w:spacing w:val="8"/>
                <w:sz w:val="24"/>
                <w:szCs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CellSpacing w:w="0" w:type="dxa"/>
        </w:trPr>
        <w:tc>
          <w:tcPr>
            <w:tcW w:w="9358" w:type="dxa"/>
            <w:gridSpan w:val="12"/>
            <w:vAlign w:val="center"/>
          </w:tcPr>
          <w:p>
            <w:pPr>
              <w:adjustRightInd w:val="0"/>
              <w:snapToGrid w:val="0"/>
              <w:spacing w:line="360" w:lineRule="auto"/>
              <w:ind w:firstLine="481" w:firstLineChars="188"/>
              <w:jc w:val="center"/>
              <w:rPr>
                <w:rFonts w:hAnsi="宋体" w:cs="宋体"/>
                <w:bCs/>
                <w:spacing w:val="8"/>
                <w:sz w:val="24"/>
                <w:szCs w:val="24"/>
              </w:rPr>
            </w:pPr>
            <w:r>
              <w:rPr>
                <w:rFonts w:hAnsi="宋体" w:cs="宋体"/>
                <w:bCs/>
                <w:spacing w:val="8"/>
                <w:sz w:val="24"/>
                <w:szCs w:val="24"/>
              </w:rPr>
              <w:t>综合商务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gridSpan w:val="3"/>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299" w:type="dxa"/>
            <w:gridSpan w:val="2"/>
            <w:vAlign w:val="center"/>
          </w:tcPr>
          <w:p>
            <w:pPr>
              <w:adjustRightInd w:val="0"/>
              <w:snapToGrid w:val="0"/>
              <w:spacing w:line="360" w:lineRule="auto"/>
              <w:ind w:firstLine="481" w:firstLineChars="188"/>
              <w:rPr>
                <w:rFonts w:hAnsi="宋体" w:cs="宋体"/>
                <w:bCs/>
                <w:spacing w:val="8"/>
                <w:sz w:val="24"/>
                <w:szCs w:val="24"/>
              </w:rPr>
            </w:pPr>
            <w:r>
              <w:rPr>
                <w:rFonts w:hAnsi="宋体" w:cs="宋体"/>
                <w:bCs/>
                <w:spacing w:val="8"/>
                <w:sz w:val="24"/>
                <w:szCs w:val="24"/>
              </w:rPr>
              <w:t>业绩</w:t>
            </w:r>
          </w:p>
        </w:tc>
        <w:tc>
          <w:tcPr>
            <w:tcW w:w="993" w:type="dxa"/>
            <w:gridSpan w:val="4"/>
            <w:vAlign w:val="center"/>
          </w:tcPr>
          <w:p>
            <w:pPr>
              <w:adjustRightInd w:val="0"/>
              <w:snapToGrid w:val="0"/>
              <w:spacing w:line="360" w:lineRule="auto"/>
              <w:jc w:val="center"/>
              <w:rPr>
                <w:rFonts w:hint="default" w:hAnsi="宋体" w:eastAsia="宋体" w:cs="宋体"/>
                <w:bCs/>
                <w:spacing w:val="8"/>
                <w:sz w:val="24"/>
                <w:szCs w:val="24"/>
                <w:lang w:val="en-US" w:eastAsia="zh-CN"/>
              </w:rPr>
            </w:pPr>
            <w:r>
              <w:rPr>
                <w:rFonts w:hint="eastAsia" w:hAnsi="宋体" w:cs="宋体"/>
                <w:bCs/>
                <w:spacing w:val="8"/>
                <w:sz w:val="24"/>
                <w:szCs w:val="24"/>
                <w:lang w:val="en-US" w:eastAsia="zh-CN"/>
              </w:rPr>
              <w:t>10</w:t>
            </w:r>
          </w:p>
        </w:tc>
        <w:tc>
          <w:tcPr>
            <w:tcW w:w="6364" w:type="dxa"/>
            <w:gridSpan w:val="3"/>
            <w:vAlign w:val="center"/>
          </w:tcPr>
          <w:p>
            <w:pPr>
              <w:tabs>
                <w:tab w:val="left" w:pos="312"/>
              </w:tabs>
              <w:adjustRightInd w:val="0"/>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ascii="Times New Roman" w:hAnsi="Times New Roman" w:eastAsia="宋体"/>
                <w:sz w:val="24"/>
                <w:szCs w:val="24"/>
              </w:rPr>
              <w:t>.</w:t>
            </w:r>
            <w:r>
              <w:rPr>
                <w:rFonts w:hint="eastAsia" w:ascii="Times New Roman" w:hAnsi="Times New Roman" w:eastAsia="宋体"/>
                <w:sz w:val="24"/>
                <w:szCs w:val="24"/>
              </w:rPr>
              <w:t>供应商201</w:t>
            </w:r>
            <w:r>
              <w:rPr>
                <w:rFonts w:ascii="Times New Roman" w:hAnsi="Times New Roman" w:eastAsia="宋体"/>
                <w:sz w:val="24"/>
                <w:szCs w:val="24"/>
              </w:rPr>
              <w:t>8</w:t>
            </w:r>
            <w:r>
              <w:rPr>
                <w:rFonts w:hint="eastAsia" w:ascii="Times New Roman" w:hAnsi="Times New Roman" w:eastAsia="宋体"/>
                <w:sz w:val="24"/>
                <w:szCs w:val="24"/>
              </w:rPr>
              <w:t>年1月1日（含）以来的类似项目履约经验，每提供一份证明材料得1分，最多</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分。（需提供合同复印件并加盖供应商公章）</w:t>
            </w:r>
          </w:p>
          <w:p>
            <w:pPr>
              <w:adjustRightInd w:val="0"/>
              <w:snapToGrid w:val="0"/>
              <w:spacing w:line="360" w:lineRule="auto"/>
              <w:jc w:val="left"/>
              <w:rPr>
                <w:rFonts w:hint="eastAsia" w:hAnsi="宋体" w:eastAsia="宋体" w:cs="宋体"/>
                <w:bCs/>
                <w:spacing w:val="8"/>
                <w:sz w:val="24"/>
                <w:szCs w:val="24"/>
                <w:lang w:eastAsia="zh-CN"/>
              </w:rPr>
            </w:pPr>
            <w:r>
              <w:rPr>
                <w:rFonts w:hint="eastAsia" w:ascii="Times New Roman" w:hAnsi="Times New Roman" w:eastAsia="宋体"/>
                <w:sz w:val="24"/>
                <w:szCs w:val="24"/>
              </w:rPr>
              <w:t>2.供应商自有平台运行的课程被四川省认定为省级在线开放课程的，有一门得</w:t>
            </w:r>
            <w:r>
              <w:rPr>
                <w:rFonts w:ascii="Times New Roman" w:hAnsi="Times New Roman" w:eastAsia="宋体"/>
                <w:sz w:val="24"/>
                <w:szCs w:val="24"/>
              </w:rPr>
              <w:t>1分，最多得</w:t>
            </w:r>
            <w:r>
              <w:rPr>
                <w:rFonts w:hint="eastAsia" w:ascii="Times New Roman" w:hAnsi="Times New Roman" w:eastAsia="宋体"/>
                <w:sz w:val="24"/>
                <w:szCs w:val="24"/>
              </w:rPr>
              <w:t>5</w:t>
            </w:r>
            <w:r>
              <w:rPr>
                <w:rFonts w:ascii="Times New Roman" w:hAnsi="Times New Roman" w:eastAsia="宋体"/>
                <w:sz w:val="24"/>
                <w:szCs w:val="24"/>
              </w:rPr>
              <w:t>分；</w:t>
            </w:r>
            <w:r>
              <w:rPr>
                <w:rFonts w:hint="eastAsia" w:ascii="Times New Roman" w:hAnsi="Times New Roman" w:eastAsia="宋体"/>
                <w:sz w:val="24"/>
                <w:szCs w:val="24"/>
              </w:rPr>
              <w:t>供应商自有平台运行的课程被</w:t>
            </w:r>
            <w:r>
              <w:rPr>
                <w:rFonts w:ascii="Times New Roman" w:hAnsi="Times New Roman" w:eastAsia="宋体"/>
                <w:sz w:val="24"/>
                <w:szCs w:val="24"/>
              </w:rPr>
              <w:t>认定为国家级在线开放课程的，有一门</w:t>
            </w:r>
            <w:r>
              <w:rPr>
                <w:rFonts w:hint="eastAsia" w:ascii="Times New Roman" w:hAnsi="Times New Roman" w:eastAsia="宋体"/>
                <w:sz w:val="24"/>
                <w:szCs w:val="24"/>
              </w:rPr>
              <w:t>得</w:t>
            </w:r>
            <w:r>
              <w:rPr>
                <w:rFonts w:ascii="Times New Roman" w:hAnsi="Times New Roman" w:eastAsia="宋体"/>
                <w:sz w:val="24"/>
                <w:szCs w:val="24"/>
              </w:rPr>
              <w:t>1分</w:t>
            </w:r>
            <w:r>
              <w:rPr>
                <w:rFonts w:hint="eastAsia" w:ascii="Times New Roman" w:hAnsi="Times New Roman" w:eastAsia="宋体"/>
                <w:sz w:val="24"/>
                <w:szCs w:val="24"/>
              </w:rPr>
              <w:t>，</w:t>
            </w:r>
            <w:r>
              <w:rPr>
                <w:rFonts w:ascii="Times New Roman" w:hAnsi="Times New Roman" w:eastAsia="宋体"/>
                <w:sz w:val="24"/>
                <w:szCs w:val="24"/>
              </w:rPr>
              <w:t>满分10分。（需</w:t>
            </w:r>
            <w:r>
              <w:rPr>
                <w:rFonts w:hint="eastAsia" w:ascii="Times New Roman" w:hAnsi="Times New Roman" w:eastAsia="宋体"/>
                <w:sz w:val="24"/>
                <w:szCs w:val="24"/>
              </w:rPr>
              <w:t>提供课程页面截图及网址等资料证明加盖供应商公章</w:t>
            </w:r>
            <w:r>
              <w:rPr>
                <w:rFonts w:ascii="Times New Roman" w:hAnsi="Times New Roman" w:eastAsia="宋体"/>
                <w:sz w:val="24"/>
                <w:szCs w:val="24"/>
              </w:rPr>
              <w:t>，未提供不得分</w:t>
            </w:r>
            <w:r>
              <w:rPr>
                <w:rFonts w:hint="eastAsia" w:ascii="Times New Roman" w:hAnsi="Times New Roman" w:eastAsia="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2" w:hRule="atLeast"/>
          <w:tblCellSpacing w:w="0" w:type="dxa"/>
        </w:trPr>
        <w:tc>
          <w:tcPr>
            <w:tcW w:w="702" w:type="dxa"/>
            <w:gridSpan w:val="3"/>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2</w:t>
            </w:r>
          </w:p>
        </w:tc>
        <w:tc>
          <w:tcPr>
            <w:tcW w:w="1299" w:type="dxa"/>
            <w:gridSpan w:val="2"/>
            <w:vAlign w:val="center"/>
          </w:tcPr>
          <w:p>
            <w:pPr>
              <w:adjustRightInd w:val="0"/>
              <w:snapToGrid w:val="0"/>
              <w:spacing w:line="360" w:lineRule="auto"/>
              <w:jc w:val="center"/>
              <w:rPr>
                <w:rFonts w:hAnsi="宋体" w:cs="宋体"/>
                <w:bCs/>
                <w:spacing w:val="8"/>
                <w:sz w:val="24"/>
                <w:szCs w:val="24"/>
              </w:rPr>
            </w:pPr>
            <w:r>
              <w:rPr>
                <w:rFonts w:hint="eastAsia" w:hAnsi="宋体"/>
                <w:sz w:val="24"/>
                <w:szCs w:val="24"/>
              </w:rPr>
              <w:t>服务能力</w:t>
            </w:r>
          </w:p>
          <w:p>
            <w:pPr>
              <w:adjustRightInd w:val="0"/>
              <w:snapToGrid w:val="0"/>
              <w:spacing w:line="360" w:lineRule="auto"/>
              <w:jc w:val="center"/>
              <w:rPr>
                <w:rFonts w:hAnsi="宋体" w:cs="宋体"/>
                <w:bCs/>
                <w:spacing w:val="8"/>
                <w:sz w:val="24"/>
                <w:szCs w:val="24"/>
              </w:rPr>
            </w:pPr>
          </w:p>
        </w:tc>
        <w:tc>
          <w:tcPr>
            <w:tcW w:w="993" w:type="dxa"/>
            <w:gridSpan w:val="4"/>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9</w:t>
            </w:r>
          </w:p>
        </w:tc>
        <w:tc>
          <w:tcPr>
            <w:tcW w:w="6364" w:type="dxa"/>
            <w:gridSpan w:val="3"/>
            <w:vAlign w:val="center"/>
          </w:tcPr>
          <w:p>
            <w:pPr>
              <w:spacing w:line="360" w:lineRule="auto"/>
              <w:rPr>
                <w:rFonts w:ascii="Times New Roman" w:hAnsi="Times New Roman" w:eastAsia="宋体"/>
                <w:sz w:val="24"/>
                <w:szCs w:val="24"/>
              </w:rPr>
            </w:pPr>
            <w:r>
              <w:rPr>
                <w:rFonts w:hint="eastAsia" w:ascii="Times New Roman" w:hAnsi="Times New Roman" w:eastAsia="宋体"/>
                <w:sz w:val="24"/>
                <w:szCs w:val="24"/>
              </w:rPr>
              <w:t>1</w:t>
            </w:r>
            <w:r>
              <w:rPr>
                <w:rFonts w:ascii="Times New Roman" w:hAnsi="Times New Roman" w:eastAsia="宋体"/>
                <w:sz w:val="24"/>
                <w:szCs w:val="24"/>
              </w:rPr>
              <w:t>.</w:t>
            </w:r>
            <w:r>
              <w:rPr>
                <w:rFonts w:hint="eastAsia" w:ascii="Times New Roman" w:hAnsi="Times New Roman" w:eastAsia="宋体"/>
                <w:sz w:val="24"/>
                <w:szCs w:val="24"/>
              </w:rPr>
              <w:t>根据供应商针对本项目所提供的服务方案进行综合评审；应包括：①技术服务方案</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2分</w:t>
            </w:r>
            <w:r>
              <w:rPr>
                <w:rFonts w:hint="eastAsia" w:ascii="Times New Roman" w:hAnsi="Times New Roman" w:eastAsia="宋体"/>
                <w:sz w:val="24"/>
                <w:szCs w:val="24"/>
                <w:lang w:eastAsia="zh-CN"/>
              </w:rPr>
              <w:t>）</w:t>
            </w:r>
            <w:r>
              <w:rPr>
                <w:rFonts w:hint="eastAsia" w:ascii="Times New Roman" w:hAnsi="Times New Roman" w:eastAsia="宋体"/>
                <w:sz w:val="24"/>
                <w:szCs w:val="24"/>
              </w:rPr>
              <w:t>；②实施进度计划</w:t>
            </w:r>
            <w:r>
              <w:rPr>
                <w:rFonts w:hint="eastAsia" w:ascii="Times New Roman" w:hAnsi="Times New Roman" w:eastAsia="宋体"/>
                <w:sz w:val="24"/>
                <w:szCs w:val="24"/>
                <w:lang w:eastAsia="zh-CN"/>
              </w:rPr>
              <w:t>（</w:t>
            </w:r>
            <w:r>
              <w:rPr>
                <w:rFonts w:hint="eastAsia" w:ascii="Times New Roman" w:hAnsi="Times New Roman"/>
                <w:sz w:val="24"/>
                <w:szCs w:val="24"/>
                <w:lang w:val="en-US" w:eastAsia="zh-CN"/>
              </w:rPr>
              <w:t>1</w:t>
            </w:r>
            <w:r>
              <w:rPr>
                <w:rFonts w:hint="eastAsia" w:ascii="Times New Roman" w:hAnsi="Times New Roman" w:eastAsia="宋体"/>
                <w:sz w:val="24"/>
                <w:szCs w:val="24"/>
                <w:lang w:val="en-US" w:eastAsia="zh-CN"/>
              </w:rPr>
              <w:t>分</w:t>
            </w:r>
            <w:r>
              <w:rPr>
                <w:rFonts w:hint="eastAsia" w:ascii="Times New Roman" w:hAnsi="Times New Roman" w:eastAsia="宋体"/>
                <w:sz w:val="24"/>
                <w:szCs w:val="24"/>
                <w:lang w:eastAsia="zh-CN"/>
              </w:rPr>
              <w:t>）</w:t>
            </w:r>
            <w:r>
              <w:rPr>
                <w:rFonts w:hint="eastAsia" w:ascii="Times New Roman" w:hAnsi="Times New Roman" w:eastAsia="宋体"/>
                <w:sz w:val="24"/>
                <w:szCs w:val="24"/>
              </w:rPr>
              <w:t>；③组织机构和人员分工安排</w:t>
            </w:r>
            <w:r>
              <w:rPr>
                <w:rFonts w:hint="eastAsia" w:ascii="Times New Roman" w:hAnsi="Times New Roman" w:eastAsia="宋体"/>
                <w:sz w:val="24"/>
                <w:szCs w:val="24"/>
                <w:lang w:eastAsia="zh-CN"/>
              </w:rPr>
              <w:t>（</w:t>
            </w:r>
            <w:r>
              <w:rPr>
                <w:rFonts w:hint="eastAsia" w:ascii="Times New Roman" w:hAnsi="Times New Roman"/>
                <w:sz w:val="24"/>
                <w:szCs w:val="24"/>
                <w:lang w:val="en-US" w:eastAsia="zh-CN"/>
              </w:rPr>
              <w:t>1</w:t>
            </w:r>
            <w:r>
              <w:rPr>
                <w:rFonts w:hint="eastAsia" w:ascii="Times New Roman" w:hAnsi="Times New Roman" w:eastAsia="宋体"/>
                <w:sz w:val="24"/>
                <w:szCs w:val="24"/>
                <w:lang w:val="en-US" w:eastAsia="zh-CN"/>
              </w:rPr>
              <w:t>分</w:t>
            </w:r>
            <w:r>
              <w:rPr>
                <w:rFonts w:hint="eastAsia" w:ascii="Times New Roman" w:hAnsi="Times New Roman" w:eastAsia="宋体"/>
                <w:sz w:val="24"/>
                <w:szCs w:val="24"/>
                <w:lang w:eastAsia="zh-CN"/>
              </w:rPr>
              <w:t>）</w:t>
            </w:r>
            <w:r>
              <w:rPr>
                <w:rFonts w:hint="eastAsia" w:ascii="Times New Roman" w:hAnsi="Times New Roman" w:eastAsia="宋体"/>
                <w:sz w:val="24"/>
                <w:szCs w:val="24"/>
              </w:rPr>
              <w:t>；④质量控制措施</w:t>
            </w:r>
            <w:r>
              <w:rPr>
                <w:rFonts w:hint="eastAsia" w:ascii="Times New Roman" w:hAnsi="Times New Roman" w:eastAsia="宋体"/>
                <w:sz w:val="24"/>
                <w:szCs w:val="24"/>
                <w:lang w:eastAsia="zh-CN"/>
              </w:rPr>
              <w:t>（</w:t>
            </w:r>
            <w:r>
              <w:rPr>
                <w:rFonts w:hint="eastAsia" w:ascii="Times New Roman" w:hAnsi="Times New Roman"/>
                <w:sz w:val="24"/>
                <w:szCs w:val="24"/>
                <w:lang w:val="en-US" w:eastAsia="zh-CN"/>
              </w:rPr>
              <w:t>1</w:t>
            </w:r>
            <w:r>
              <w:rPr>
                <w:rFonts w:hint="eastAsia" w:ascii="Times New Roman" w:hAnsi="Times New Roman" w:eastAsia="宋体"/>
                <w:sz w:val="24"/>
                <w:szCs w:val="24"/>
                <w:lang w:val="en-US" w:eastAsia="zh-CN"/>
              </w:rPr>
              <w:t>分</w:t>
            </w:r>
            <w:r>
              <w:rPr>
                <w:rFonts w:hint="eastAsia" w:ascii="Times New Roman" w:hAnsi="Times New Roman" w:eastAsia="宋体"/>
                <w:sz w:val="24"/>
                <w:szCs w:val="24"/>
                <w:lang w:eastAsia="zh-CN"/>
              </w:rPr>
              <w:t>）</w:t>
            </w:r>
            <w:r>
              <w:rPr>
                <w:rFonts w:hint="eastAsia" w:ascii="Times New Roman" w:hAnsi="Times New Roman" w:eastAsia="宋体"/>
                <w:sz w:val="24"/>
                <w:szCs w:val="24"/>
              </w:rPr>
              <w:t>。方案要素齐全详尽得</w:t>
            </w:r>
            <w:r>
              <w:rPr>
                <w:rFonts w:hint="eastAsia" w:ascii="Times New Roman" w:hAnsi="Times New Roman" w:eastAsia="宋体"/>
                <w:sz w:val="24"/>
                <w:szCs w:val="24"/>
                <w:lang w:val="en-US" w:eastAsia="zh-CN"/>
              </w:rPr>
              <w:t>5</w:t>
            </w:r>
            <w:r>
              <w:rPr>
                <w:rFonts w:ascii="Times New Roman" w:hAnsi="Times New Roman" w:eastAsia="宋体"/>
                <w:sz w:val="24"/>
                <w:szCs w:val="24"/>
              </w:rPr>
              <w:t>分，每有一项内容缺失扣2分，每有一项不足或有缺陷的扣1分，扣完为止。</w:t>
            </w:r>
          </w:p>
          <w:p>
            <w:pPr>
              <w:autoSpaceDE w:val="0"/>
              <w:autoSpaceDN w:val="0"/>
              <w:rPr>
                <w:rFonts w:cs="宋体"/>
                <w:sz w:val="24"/>
                <w:szCs w:val="24"/>
              </w:rPr>
            </w:pPr>
            <w:r>
              <w:rPr>
                <w:rFonts w:hint="eastAsia" w:ascii="Times New Roman" w:hAnsi="Times New Roman" w:eastAsia="宋体"/>
                <w:sz w:val="24"/>
                <w:szCs w:val="24"/>
              </w:rPr>
              <w:t>2</w:t>
            </w:r>
            <w:r>
              <w:rPr>
                <w:rFonts w:ascii="Times New Roman" w:hAnsi="Times New Roman" w:eastAsia="宋体"/>
                <w:sz w:val="24"/>
                <w:szCs w:val="24"/>
              </w:rPr>
              <w:t>.</w:t>
            </w:r>
            <w:r>
              <w:rPr>
                <w:rFonts w:hint="eastAsia" w:ascii="Times New Roman" w:hAnsi="Times New Roman" w:eastAsia="宋体"/>
                <w:sz w:val="24"/>
                <w:szCs w:val="24"/>
              </w:rPr>
              <w:t>根据供应商提供的针对本项目的售后服务方案进行综合评分，包含但不限于：①应急服务方案；②售后服务计划和内容；③服务团队设置；④服务机构地址及电话等。方案要素齐全详尽得</w:t>
            </w:r>
            <w:r>
              <w:rPr>
                <w:rFonts w:hint="eastAsia" w:ascii="Times New Roman" w:hAnsi="Times New Roman" w:eastAsia="宋体"/>
                <w:sz w:val="24"/>
                <w:szCs w:val="24"/>
                <w:lang w:val="en-US" w:eastAsia="zh-CN"/>
              </w:rPr>
              <w:t>4</w:t>
            </w:r>
            <w:r>
              <w:rPr>
                <w:rFonts w:ascii="Times New Roman" w:hAnsi="Times New Roman" w:eastAsia="宋体"/>
                <w:sz w:val="24"/>
                <w:szCs w:val="24"/>
              </w:rPr>
              <w:t>分，每有一项内容缺失扣2分，每有一项不符合采购需求或有缺陷的扣1分，扣完为止。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blCellSpacing w:w="0" w:type="dxa"/>
        </w:trPr>
        <w:tc>
          <w:tcPr>
            <w:tcW w:w="702" w:type="dxa"/>
            <w:gridSpan w:val="3"/>
            <w:tcBorders>
              <w:bottom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3</w:t>
            </w:r>
          </w:p>
        </w:tc>
        <w:tc>
          <w:tcPr>
            <w:tcW w:w="1299" w:type="dxa"/>
            <w:gridSpan w:val="2"/>
            <w:tcBorders>
              <w:bottom w:val="single" w:color="auto" w:sz="4" w:space="0"/>
            </w:tcBorders>
            <w:vAlign w:val="center"/>
          </w:tcPr>
          <w:p>
            <w:pPr>
              <w:adjustRightInd w:val="0"/>
              <w:snapToGrid w:val="0"/>
              <w:spacing w:line="360" w:lineRule="auto"/>
              <w:jc w:val="center"/>
              <w:rPr>
                <w:rFonts w:hAnsi="宋体"/>
                <w:sz w:val="24"/>
                <w:szCs w:val="24"/>
              </w:rPr>
            </w:pPr>
            <w:r>
              <w:rPr>
                <w:rFonts w:hint="eastAsia" w:hAnsi="宋体"/>
                <w:sz w:val="24"/>
                <w:szCs w:val="24"/>
              </w:rPr>
              <w:t>荣誉</w:t>
            </w:r>
          </w:p>
        </w:tc>
        <w:tc>
          <w:tcPr>
            <w:tcW w:w="993" w:type="dxa"/>
            <w:gridSpan w:val="4"/>
            <w:tcBorders>
              <w:bottom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11</w:t>
            </w:r>
          </w:p>
        </w:tc>
        <w:tc>
          <w:tcPr>
            <w:tcW w:w="6364" w:type="dxa"/>
            <w:gridSpan w:val="3"/>
            <w:tcBorders>
              <w:bottom w:val="single" w:color="auto" w:sz="4" w:space="0"/>
            </w:tcBorders>
            <w:vAlign w:val="center"/>
          </w:tcPr>
          <w:p>
            <w:pPr>
              <w:autoSpaceDE w:val="0"/>
              <w:autoSpaceDN w:val="0"/>
              <w:rPr>
                <w:rFonts w:hAnsi="宋体"/>
                <w:sz w:val="24"/>
              </w:rPr>
            </w:pPr>
            <w:r>
              <w:rPr>
                <w:rFonts w:hint="eastAsia" w:ascii="Times New Roman" w:hAnsi="Times New Roman" w:eastAsia="宋体"/>
                <w:sz w:val="24"/>
                <w:szCs w:val="24"/>
              </w:rPr>
              <w:t>供应商具有A</w:t>
            </w:r>
            <w:r>
              <w:rPr>
                <w:rFonts w:ascii="Times New Roman" w:hAnsi="Times New Roman" w:eastAsia="宋体"/>
                <w:sz w:val="24"/>
                <w:szCs w:val="24"/>
              </w:rPr>
              <w:t>AA</w:t>
            </w:r>
            <w:r>
              <w:rPr>
                <w:rFonts w:hint="eastAsia" w:ascii="Times New Roman" w:hAnsi="Times New Roman" w:eastAsia="宋体"/>
                <w:sz w:val="24"/>
                <w:szCs w:val="24"/>
              </w:rPr>
              <w:t>级信用等级证书</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3分</w:t>
            </w:r>
            <w:r>
              <w:rPr>
                <w:rFonts w:hint="eastAsia" w:ascii="Times New Roman" w:hAnsi="Times New Roman" w:eastAsia="宋体"/>
                <w:sz w:val="24"/>
                <w:szCs w:val="24"/>
                <w:lang w:eastAsia="zh-CN"/>
              </w:rPr>
              <w:t>）</w:t>
            </w:r>
            <w:r>
              <w:rPr>
                <w:rFonts w:hint="eastAsia" w:ascii="Times New Roman" w:hAnsi="Times New Roman" w:eastAsia="宋体"/>
                <w:sz w:val="24"/>
                <w:szCs w:val="24"/>
              </w:rPr>
              <w:t>、具有质量管理体系认证证书</w:t>
            </w:r>
            <w:r>
              <w:rPr>
                <w:rFonts w:hint="eastAsia" w:ascii="Times New Roman" w:hAnsi="Times New Roman" w:eastAsia="宋体"/>
                <w:sz w:val="24"/>
                <w:szCs w:val="24"/>
                <w:lang w:eastAsia="zh-CN"/>
              </w:rPr>
              <w:t>（</w:t>
            </w:r>
            <w:r>
              <w:rPr>
                <w:rFonts w:hint="eastAsia" w:ascii="Times New Roman" w:hAnsi="Times New Roman"/>
                <w:sz w:val="24"/>
                <w:szCs w:val="24"/>
                <w:lang w:val="en-US" w:eastAsia="zh-CN"/>
              </w:rPr>
              <w:t>2</w:t>
            </w:r>
            <w:r>
              <w:rPr>
                <w:rFonts w:hint="eastAsia" w:ascii="Times New Roman" w:hAnsi="Times New Roman" w:eastAsia="宋体"/>
                <w:sz w:val="24"/>
                <w:szCs w:val="24"/>
                <w:lang w:val="en-US" w:eastAsia="zh-CN"/>
              </w:rPr>
              <w:t>分</w:t>
            </w:r>
            <w:r>
              <w:rPr>
                <w:rFonts w:hint="eastAsia" w:ascii="Times New Roman" w:hAnsi="Times New Roman" w:eastAsia="宋体"/>
                <w:sz w:val="24"/>
                <w:szCs w:val="24"/>
                <w:lang w:eastAsia="zh-CN"/>
              </w:rPr>
              <w:t>）</w:t>
            </w:r>
            <w:r>
              <w:rPr>
                <w:rFonts w:hint="eastAsia" w:ascii="Times New Roman" w:hAnsi="Times New Roman" w:eastAsia="宋体"/>
                <w:sz w:val="24"/>
                <w:szCs w:val="24"/>
              </w:rPr>
              <w:t>、具有智慧教学管理平台相关著作权登记证书</w:t>
            </w:r>
            <w:r>
              <w:rPr>
                <w:rFonts w:hint="eastAsia" w:ascii="Times New Roman" w:hAnsi="Times New Roman" w:eastAsia="宋体"/>
                <w:sz w:val="24"/>
                <w:szCs w:val="24"/>
                <w:lang w:eastAsia="zh-CN"/>
              </w:rPr>
              <w:t>（</w:t>
            </w:r>
            <w:r>
              <w:rPr>
                <w:rFonts w:hint="eastAsia" w:ascii="Times New Roman" w:hAnsi="Times New Roman"/>
                <w:sz w:val="24"/>
                <w:szCs w:val="24"/>
                <w:lang w:val="en-US" w:eastAsia="zh-CN"/>
              </w:rPr>
              <w:t>2</w:t>
            </w:r>
            <w:r>
              <w:rPr>
                <w:rFonts w:hint="eastAsia" w:ascii="Times New Roman" w:hAnsi="Times New Roman" w:eastAsia="宋体"/>
                <w:sz w:val="24"/>
                <w:szCs w:val="24"/>
                <w:lang w:val="en-US" w:eastAsia="zh-CN"/>
              </w:rPr>
              <w:t>分</w:t>
            </w:r>
            <w:r>
              <w:rPr>
                <w:rFonts w:hint="eastAsia" w:ascii="Times New Roman" w:hAnsi="Times New Roman" w:eastAsia="宋体"/>
                <w:sz w:val="24"/>
                <w:szCs w:val="24"/>
                <w:lang w:eastAsia="zh-CN"/>
              </w:rPr>
              <w:t>）</w:t>
            </w:r>
            <w:r>
              <w:rPr>
                <w:rFonts w:hint="eastAsia" w:ascii="Times New Roman" w:hAnsi="Times New Roman" w:eastAsia="宋体"/>
                <w:sz w:val="24"/>
                <w:szCs w:val="24"/>
              </w:rPr>
              <w:t>、具有出版物经营许可证</w:t>
            </w:r>
            <w:r>
              <w:rPr>
                <w:rFonts w:hint="eastAsia" w:ascii="Times New Roman" w:hAnsi="Times New Roman" w:eastAsia="宋体"/>
                <w:sz w:val="24"/>
                <w:szCs w:val="24"/>
                <w:lang w:eastAsia="zh-CN"/>
              </w:rPr>
              <w:t>（</w:t>
            </w:r>
            <w:r>
              <w:rPr>
                <w:rFonts w:hint="eastAsia" w:ascii="Times New Roman" w:hAnsi="Times New Roman"/>
                <w:sz w:val="24"/>
                <w:szCs w:val="24"/>
                <w:lang w:val="en-US" w:eastAsia="zh-CN"/>
              </w:rPr>
              <w:t>2</w:t>
            </w:r>
            <w:r>
              <w:rPr>
                <w:rFonts w:hint="eastAsia" w:ascii="Times New Roman" w:hAnsi="Times New Roman" w:eastAsia="宋体"/>
                <w:sz w:val="24"/>
                <w:szCs w:val="24"/>
                <w:lang w:val="en-US" w:eastAsia="zh-CN"/>
              </w:rPr>
              <w:t>分</w:t>
            </w:r>
            <w:r>
              <w:rPr>
                <w:rFonts w:hint="eastAsia" w:ascii="Times New Roman" w:hAnsi="Times New Roman" w:eastAsia="宋体"/>
                <w:sz w:val="24"/>
                <w:szCs w:val="24"/>
                <w:lang w:eastAsia="zh-CN"/>
              </w:rPr>
              <w:t>）</w:t>
            </w:r>
            <w:r>
              <w:rPr>
                <w:rFonts w:hint="eastAsia" w:ascii="Times New Roman" w:hAnsi="Times New Roman" w:eastAsia="宋体"/>
                <w:sz w:val="24"/>
                <w:szCs w:val="24"/>
              </w:rPr>
              <w:t>、具有广播电视节目制作经营许可证</w:t>
            </w:r>
            <w:r>
              <w:rPr>
                <w:rFonts w:hint="eastAsia" w:ascii="Times New Roman" w:hAnsi="Times New Roman" w:eastAsia="宋体"/>
                <w:sz w:val="24"/>
                <w:szCs w:val="24"/>
                <w:lang w:eastAsia="zh-CN"/>
              </w:rPr>
              <w:t>（</w:t>
            </w:r>
            <w:r>
              <w:rPr>
                <w:rFonts w:hint="eastAsia" w:ascii="Times New Roman" w:hAnsi="Times New Roman"/>
                <w:sz w:val="24"/>
                <w:szCs w:val="24"/>
                <w:lang w:val="en-US" w:eastAsia="zh-CN"/>
              </w:rPr>
              <w:t>2</w:t>
            </w:r>
            <w:r>
              <w:rPr>
                <w:rFonts w:hint="eastAsia" w:ascii="Times New Roman" w:hAnsi="Times New Roman" w:eastAsia="宋体"/>
                <w:sz w:val="24"/>
                <w:szCs w:val="24"/>
                <w:lang w:val="en-US" w:eastAsia="zh-CN"/>
              </w:rPr>
              <w:t>分</w:t>
            </w:r>
            <w:r>
              <w:rPr>
                <w:rFonts w:hint="eastAsia" w:ascii="Times New Roman" w:hAnsi="Times New Roman" w:eastAsia="宋体"/>
                <w:sz w:val="24"/>
                <w:szCs w:val="24"/>
                <w:lang w:eastAsia="zh-CN"/>
              </w:rPr>
              <w:t>）</w:t>
            </w:r>
            <w:r>
              <w:rPr>
                <w:rFonts w:hint="eastAsia" w:ascii="Times New Roman" w:hAnsi="Times New Roman" w:eastAsia="宋体"/>
                <w:sz w:val="24"/>
                <w:szCs w:val="24"/>
              </w:rPr>
              <w:t>，本项最多得1</w:t>
            </w: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分。（提供相关证明材料复印件加盖供应商公章）</w:t>
            </w:r>
          </w:p>
        </w:tc>
      </w:tr>
    </w:tbl>
    <w:p>
      <w:pPr>
        <w:adjustRightInd w:val="0"/>
        <w:snapToGrid w:val="0"/>
        <w:spacing w:line="360" w:lineRule="auto"/>
        <w:jc w:val="left"/>
        <w:rPr>
          <w:rFonts w:hint="eastAsia"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Pr>
        <w:rPr>
          <w:rFonts w:hint="default" w:eastAsia="宋体"/>
          <w:lang w:val="en-US" w:eastAsia="zh-CN"/>
        </w:rPr>
      </w:pPr>
    </w:p>
    <w:bookmarkEnd w:id="41"/>
    <w:bookmarkEnd w:id="42"/>
    <w:p>
      <w:pPr>
        <w:pStyle w:val="4"/>
        <w:numPr>
          <w:ilvl w:val="0"/>
          <w:numId w:val="0"/>
        </w:numPr>
        <w:snapToGrid w:val="0"/>
        <w:spacing w:before="0" w:after="0" w:line="360" w:lineRule="auto"/>
        <w:ind w:firstLine="2711" w:firstLineChars="900"/>
        <w:jc w:val="both"/>
        <w:rPr>
          <w:rFonts w:hint="eastAsia" w:hAnsi="宋体" w:cs="宋体"/>
          <w:sz w:val="30"/>
          <w:szCs w:val="30"/>
          <w:lang w:val="en-US" w:eastAsia="zh-CN"/>
        </w:rPr>
      </w:pPr>
    </w:p>
    <w:p>
      <w:pPr>
        <w:pStyle w:val="4"/>
        <w:numPr>
          <w:ilvl w:val="0"/>
          <w:numId w:val="0"/>
        </w:numPr>
        <w:snapToGrid w:val="0"/>
        <w:spacing w:before="0" w:after="0" w:line="360" w:lineRule="auto"/>
        <w:ind w:firstLine="2711" w:firstLineChars="900"/>
        <w:jc w:val="both"/>
        <w:rPr>
          <w:rFonts w:hint="eastAsia" w:hAnsi="宋体" w:cs="宋体"/>
          <w:sz w:val="30"/>
          <w:szCs w:val="30"/>
        </w:rPr>
      </w:pPr>
      <w:r>
        <w:rPr>
          <w:rFonts w:hint="eastAsia" w:hAnsi="宋体" w:cs="宋体"/>
          <w:sz w:val="30"/>
          <w:szCs w:val="30"/>
          <w:lang w:val="en-US" w:eastAsia="zh-CN"/>
        </w:rPr>
        <w:t>第六章</w:t>
      </w:r>
      <w:r>
        <w:rPr>
          <w:rFonts w:hint="eastAsia" w:hAnsi="宋体" w:cs="宋体"/>
          <w:sz w:val="30"/>
          <w:szCs w:val="30"/>
        </w:rPr>
        <w:t xml:space="preserve"> 合同主要条款</w:t>
      </w:r>
    </w:p>
    <w:p>
      <w:pPr>
        <w:numPr>
          <w:ilvl w:val="0"/>
          <w:numId w:val="0"/>
        </w:numPr>
        <w:ind w:leftChars="0"/>
        <w:jc w:val="center"/>
        <w:rPr>
          <w:rFonts w:hint="eastAsia" w:eastAsia="宋体"/>
          <w:lang w:eastAsia="zh-CN"/>
        </w:rPr>
      </w:pPr>
      <w:r>
        <w:rPr>
          <w:rFonts w:hint="eastAsia" w:ascii="Times New Roman" w:hAnsi="宋体" w:eastAsia="宋体" w:cs="宋体"/>
          <w:b/>
          <w:bCs/>
          <w:sz w:val="24"/>
          <w:szCs w:val="24"/>
          <w:lang w:val="en-US" w:eastAsia="zh-CN" w:bidi="ar-SA"/>
        </w:rPr>
        <w:t>（</w:t>
      </w:r>
      <w:r>
        <w:rPr>
          <w:rFonts w:hint="eastAsia" w:ascii="Times New Roman" w:hAnsi="宋体" w:cs="宋体"/>
          <w:b/>
          <w:bCs/>
          <w:sz w:val="24"/>
          <w:szCs w:val="24"/>
          <w:lang w:val="en-US" w:eastAsia="zh-CN" w:bidi="ar-SA"/>
        </w:rPr>
        <w:t>双方协商签订</w:t>
      </w:r>
      <w:r>
        <w:rPr>
          <w:rFonts w:hint="eastAsia" w:ascii="Times New Roman" w:hAnsi="宋体" w:eastAsia="宋体" w:cs="宋体"/>
          <w:sz w:val="24"/>
          <w:szCs w:val="24"/>
          <w:lang w:val="en-US" w:eastAsia="zh-CN" w:bidi="ar-SA"/>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140"/>
        <w:tab w:val="clear" w:pos="8300"/>
      </w:tabs>
      <w:rPr>
        <w:rFonts w:hint="default" w:hAnsi="宋体" w:eastAsia="宋体"/>
        <w:lang w:val="en-US" w:eastAsia="zh-CN"/>
      </w:rPr>
    </w:pPr>
    <w:r>
      <w:rPr>
        <w:rFonts w:hint="eastAsia" w:hAnsi="宋体"/>
        <w:lang w:eastAsia="zh-CN"/>
      </w:rPr>
      <w:t>经管学院</w:t>
    </w:r>
    <w:r>
      <w:rPr>
        <w:rFonts w:hint="eastAsia" w:hAnsi="宋体"/>
        <w:lang w:val="en-US" w:eastAsia="zh-CN"/>
      </w:rPr>
      <w:t>SPOC课程建设项目--招标文件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ED5852E"/>
    <w:multiLevelType w:val="singleLevel"/>
    <w:tmpl w:val="7ED5852E"/>
    <w:lvl w:ilvl="0" w:tentative="0">
      <w:start w:val="7"/>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66E"/>
    <w:rsid w:val="00AA1D32"/>
    <w:rsid w:val="00AA4F6C"/>
    <w:rsid w:val="00AE0E42"/>
    <w:rsid w:val="00AE5591"/>
    <w:rsid w:val="00B10AC3"/>
    <w:rsid w:val="00B35C4C"/>
    <w:rsid w:val="00B52A09"/>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0D1B89"/>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90065E"/>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4451C3"/>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CF85675"/>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C25413"/>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30B31"/>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A366BD"/>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7F91920"/>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75BFD"/>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8F2BA3"/>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9E77FE3"/>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6D2129"/>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4E089D"/>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57EBC"/>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19185D"/>
    <w:rsid w:val="722A1AD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721617"/>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393716"/>
    <w:rsid w:val="7843265A"/>
    <w:rsid w:val="78913A5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1"/>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w:basedOn w:val="1"/>
    <w:qFormat/>
    <w:uiPriority w:val="0"/>
    <w:pPr>
      <w:spacing w:after="120"/>
    </w:pPr>
    <w:rPr>
      <w:rFonts w:ascii="Times New Roman"/>
    </w:rPr>
  </w:style>
  <w:style w:type="paragraph" w:styleId="10">
    <w:name w:val="Body Text Indent"/>
    <w:basedOn w:val="1"/>
    <w:link w:val="39"/>
    <w:qFormat/>
    <w:uiPriority w:val="0"/>
    <w:pPr>
      <w:ind w:firstLine="630"/>
    </w:pPr>
    <w:rPr>
      <w:rFonts w:ascii="Times New Roman"/>
      <w:kern w:val="2"/>
      <w:sz w:val="32"/>
    </w:rPr>
  </w:style>
  <w:style w:type="paragraph" w:styleId="11">
    <w:name w:val="Plain Text"/>
    <w:basedOn w:val="1"/>
    <w:link w:val="48"/>
    <w:qFormat/>
    <w:uiPriority w:val="0"/>
    <w:rPr>
      <w:rFonts w:hAnsi="Courier New"/>
      <w:kern w:val="2"/>
      <w:sz w:val="21"/>
    </w:rPr>
  </w:style>
  <w:style w:type="paragraph" w:styleId="12">
    <w:name w:val="Body Text Indent 2"/>
    <w:basedOn w:val="1"/>
    <w:qFormat/>
    <w:uiPriority w:val="0"/>
    <w:pPr>
      <w:ind w:firstLine="630"/>
    </w:pPr>
    <w:rPr>
      <w:sz w:val="32"/>
      <w:szCs w:val="32"/>
    </w:rPr>
  </w:style>
  <w:style w:type="paragraph" w:styleId="13">
    <w:name w:val="Balloon Text"/>
    <w:basedOn w:val="1"/>
    <w:qFormat/>
    <w:uiPriority w:val="0"/>
    <w:rPr>
      <w:rFonts w:ascii="Times New Roman"/>
      <w:sz w:val="18"/>
      <w:szCs w:val="18"/>
    </w:rPr>
  </w:style>
  <w:style w:type="paragraph" w:styleId="14">
    <w:name w:val="footer"/>
    <w:basedOn w:val="1"/>
    <w:qFormat/>
    <w:uiPriority w:val="0"/>
    <w:pPr>
      <w:tabs>
        <w:tab w:val="center" w:pos="4140"/>
        <w:tab w:val="right" w:pos="8300"/>
      </w:tabs>
      <w:jc w:val="left"/>
    </w:pPr>
    <w:rPr>
      <w:sz w:val="18"/>
      <w:szCs w:val="18"/>
    </w:rPr>
  </w:style>
  <w:style w:type="paragraph" w:styleId="15">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6">
    <w:name w:val="toc 1"/>
    <w:basedOn w:val="1"/>
    <w:next w:val="1"/>
    <w:qFormat/>
    <w:uiPriority w:val="0"/>
  </w:style>
  <w:style w:type="paragraph" w:styleId="17">
    <w:name w:val="Body Text Indent 3"/>
    <w:basedOn w:val="1"/>
    <w:qFormat/>
    <w:uiPriority w:val="0"/>
    <w:pPr>
      <w:spacing w:after="120"/>
      <w:ind w:left="420" w:leftChars="200"/>
    </w:pPr>
    <w:rPr>
      <w:rFonts w:ascii="Times New Roman"/>
      <w:sz w:val="16"/>
      <w:szCs w:val="16"/>
    </w:rPr>
  </w:style>
  <w:style w:type="paragraph" w:styleId="18">
    <w:name w:val="toc 2"/>
    <w:basedOn w:val="1"/>
    <w:next w:val="1"/>
    <w:qFormat/>
    <w:uiPriority w:val="0"/>
    <w:pPr>
      <w:ind w:left="420" w:leftChars="200"/>
    </w:pPr>
    <w:rPr>
      <w:rFonts w:ascii="Times New Roman"/>
    </w:rPr>
  </w:style>
  <w:style w:type="paragraph" w:styleId="19">
    <w:name w:val="Body Text 2"/>
    <w:basedOn w:val="1"/>
    <w:qFormat/>
    <w:uiPriority w:val="0"/>
    <w:pPr>
      <w:spacing w:line="480" w:lineRule="auto"/>
    </w:pPr>
    <w:rPr>
      <w:rFonts w:ascii="Times New Roman"/>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ascii="Times New Roman" w:hAnsi="Times New Roman" w:eastAsia="宋体" w:cs="Times New Roman"/>
      <w:b/>
      <w:bCs/>
    </w:r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Arial" w:hAnsi="Arial" w:eastAsia="宋体" w:cs="Arial"/>
      <w:color w:val="007CD2"/>
      <w:sz w:val="24"/>
      <w:szCs w:val="24"/>
      <w:u w:val="none"/>
    </w:rPr>
  </w:style>
  <w:style w:type="character" w:styleId="27">
    <w:name w:val="Hyperlink"/>
    <w:qFormat/>
    <w:uiPriority w:val="0"/>
    <w:rPr>
      <w:rFonts w:ascii="Times New Roman" w:hAnsi="Times New Roman" w:eastAsia="宋体" w:cs="Times New Roman"/>
      <w:color w:val="0000FF"/>
      <w:u w:val="single"/>
    </w:rPr>
  </w:style>
  <w:style w:type="character" w:styleId="28">
    <w:name w:val="annotation reference"/>
    <w:qFormat/>
    <w:uiPriority w:val="0"/>
    <w:rPr>
      <w:rFonts w:cs="Times New Roman"/>
      <w:sz w:val="21"/>
      <w:szCs w:val="21"/>
    </w:rPr>
  </w:style>
  <w:style w:type="character" w:customStyle="1" w:styleId="29">
    <w:name w:val="font31"/>
    <w:qFormat/>
    <w:uiPriority w:val="0"/>
    <w:rPr>
      <w:rFonts w:hint="eastAsia" w:ascii="宋体" w:hAnsi="宋体" w:eastAsia="宋体" w:cs="宋体"/>
      <w:b/>
      <w:color w:val="000000"/>
      <w:sz w:val="22"/>
      <w:szCs w:val="22"/>
      <w:u w:val="none"/>
    </w:rPr>
  </w:style>
  <w:style w:type="character" w:customStyle="1" w:styleId="30">
    <w:name w:val="style1"/>
    <w:qFormat/>
    <w:uiPriority w:val="0"/>
    <w:rPr>
      <w:rFonts w:ascii="Times New Roman" w:hAnsi="Times New Roman" w:eastAsia="宋体" w:cs="Times New Roman"/>
    </w:rPr>
  </w:style>
  <w:style w:type="character" w:customStyle="1" w:styleId="31">
    <w:name w:val="正文缩进 Char"/>
    <w:link w:val="7"/>
    <w:qFormat/>
    <w:uiPriority w:val="0"/>
    <w:rPr>
      <w:rFonts w:ascii="Times New Roman" w:hAnsi="Times New Roman" w:eastAsia="宋体" w:cs="Times New Roman"/>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character" w:customStyle="1" w:styleId="33">
    <w:name w:val="font81"/>
    <w:qFormat/>
    <w:uiPriority w:val="0"/>
    <w:rPr>
      <w:rFonts w:hint="eastAsia" w:ascii="宋体" w:hAnsi="宋体" w:eastAsia="宋体" w:cs="宋体"/>
      <w:b/>
      <w:color w:val="000000"/>
      <w:sz w:val="22"/>
      <w:szCs w:val="22"/>
      <w:u w:val="none"/>
    </w:rPr>
  </w:style>
  <w:style w:type="character" w:customStyle="1" w:styleId="34">
    <w:name w:val="tdrownotice1"/>
    <w:qFormat/>
    <w:uiPriority w:val="0"/>
    <w:rPr>
      <w:rFonts w:hint="default" w:ascii="Times New Roman" w:hAnsi="Times New Roman" w:eastAsia="宋体" w:cs="Times New Roman"/>
      <w:sz w:val="22"/>
    </w:rPr>
  </w:style>
  <w:style w:type="character" w:customStyle="1" w:styleId="35">
    <w:name w:val="表正文 Char1"/>
    <w:qFormat/>
    <w:uiPriority w:val="0"/>
    <w:rPr>
      <w:rFonts w:ascii="Times New Roman" w:hAnsi="Times New Roman" w:eastAsia="宋体" w:cs="Times New Roman"/>
      <w:kern w:val="2"/>
      <w:sz w:val="21"/>
      <w:szCs w:val="24"/>
      <w:lang w:val="en-US" w:eastAsia="zh-CN" w:bidi="ar-SA"/>
    </w:rPr>
  </w:style>
  <w:style w:type="character" w:customStyle="1" w:styleId="36">
    <w:name w:val="font61"/>
    <w:qFormat/>
    <w:uiPriority w:val="0"/>
    <w:rPr>
      <w:rFonts w:hint="eastAsia" w:ascii="微软雅黑" w:hAnsi="微软雅黑" w:eastAsia="微软雅黑" w:cs="微软雅黑"/>
      <w:b/>
      <w:color w:val="000000"/>
      <w:sz w:val="22"/>
      <w:szCs w:val="22"/>
      <w:u w:val="none"/>
    </w:rPr>
  </w:style>
  <w:style w:type="character" w:customStyle="1" w:styleId="37">
    <w:name w:val="font71"/>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eastAsia" w:ascii="宋体" w:hAnsi="宋体" w:eastAsia="宋体" w:cs="宋体"/>
      <w:i/>
      <w:color w:val="000000"/>
      <w:sz w:val="20"/>
      <w:szCs w:val="20"/>
      <w:u w:val="none"/>
    </w:rPr>
  </w:style>
  <w:style w:type="character" w:customStyle="1" w:styleId="39">
    <w:name w:val="正文文本缩进 Char"/>
    <w:link w:val="10"/>
    <w:qFormat/>
    <w:uiPriority w:val="0"/>
    <w:rPr>
      <w:rFonts w:ascii="Times New Roman" w:hAnsi="Times New Roman" w:eastAsia="宋体" w:cs="Times New Roman"/>
      <w:kern w:val="2"/>
      <w:sz w:val="32"/>
      <w:lang w:val="en-US" w:eastAsia="zh-CN" w:bidi="ar-SA"/>
    </w:rPr>
  </w:style>
  <w:style w:type="character" w:customStyle="1" w:styleId="40">
    <w:name w:val="页码1"/>
    <w:qFormat/>
    <w:uiPriority w:val="0"/>
    <w:rPr>
      <w:rFonts w:ascii="Times New Roman" w:hAnsi="Times New Roman" w:eastAsia="宋体" w:cs="Times New Roman"/>
    </w:rPr>
  </w:style>
  <w:style w:type="character" w:customStyle="1" w:styleId="41">
    <w:name w:val="font41"/>
    <w:qFormat/>
    <w:uiPriority w:val="0"/>
    <w:rPr>
      <w:rFonts w:hint="eastAsia" w:ascii="宋体" w:hAnsi="宋体" w:eastAsia="宋体" w:cs="宋体"/>
      <w:color w:val="000000"/>
      <w:sz w:val="24"/>
      <w:szCs w:val="24"/>
      <w:u w:val="none"/>
    </w:rPr>
  </w:style>
  <w:style w:type="character" w:customStyle="1" w:styleId="42">
    <w:name w:val="font111"/>
    <w:qFormat/>
    <w:uiPriority w:val="0"/>
    <w:rPr>
      <w:rFonts w:hint="eastAsia" w:ascii="宋体" w:hAnsi="宋体" w:eastAsia="宋体" w:cs="宋体"/>
      <w:b/>
      <w:color w:val="000000"/>
      <w:sz w:val="32"/>
      <w:szCs w:val="32"/>
      <w:u w:val="none"/>
    </w:rPr>
  </w:style>
  <w:style w:type="character" w:customStyle="1" w:styleId="43">
    <w:name w:val="（符号）邀请函中一、"/>
    <w:qFormat/>
    <w:uiPriority w:val="0"/>
    <w:rPr>
      <w:rFonts w:ascii="黑体" w:hAnsi="黑体" w:eastAsia="黑体" w:cs="Times New Roman"/>
      <w:b/>
      <w:bCs/>
      <w:sz w:val="24"/>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左对齐的表内文字 Char"/>
    <w:link w:val="47"/>
    <w:qFormat/>
    <w:uiPriority w:val="0"/>
    <w:rPr>
      <w:rFonts w:ascii="Times New Roman" w:hAnsi="Times New Roman" w:eastAsia="仿宋_GB2312" w:cs="Times New Roman"/>
      <w:kern w:val="2"/>
      <w:sz w:val="21"/>
      <w:lang w:bidi="ar-SA"/>
    </w:rPr>
  </w:style>
  <w:style w:type="paragraph" w:customStyle="1" w:styleId="47">
    <w:name w:val="左对齐的表内文字"/>
    <w:basedOn w:val="1"/>
    <w:link w:val="46"/>
    <w:qFormat/>
    <w:uiPriority w:val="0"/>
    <w:rPr>
      <w:rFonts w:ascii="Times New Roman" w:eastAsia="仿宋_GB2312"/>
      <w:kern w:val="2"/>
      <w:sz w:val="21"/>
    </w:rPr>
  </w:style>
  <w:style w:type="character" w:customStyle="1" w:styleId="48">
    <w:name w:val="纯文本 Char"/>
    <w:link w:val="11"/>
    <w:qFormat/>
    <w:uiPriority w:val="0"/>
    <w:rPr>
      <w:rFonts w:ascii="宋体" w:hAnsi="Courier New" w:eastAsia="宋体" w:cs="Times New Roman"/>
      <w:kern w:val="2"/>
      <w:sz w:val="21"/>
      <w:lang w:val="en-US" w:eastAsia="zh-CN" w:bidi="ar-SA"/>
    </w:rPr>
  </w:style>
  <w:style w:type="paragraph" w:customStyle="1" w:styleId="49">
    <w:name w:val="_Style 3"/>
    <w:basedOn w:val="1"/>
    <w:qFormat/>
    <w:uiPriority w:val="34"/>
    <w:pPr>
      <w:ind w:firstLine="420" w:firstLineChars="200"/>
    </w:pPr>
  </w:style>
  <w:style w:type="paragraph" w:customStyle="1" w:styleId="50">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1">
    <w:name w:val="_Style 2"/>
    <w:basedOn w:val="1"/>
    <w:qFormat/>
    <w:uiPriority w:val="34"/>
    <w:pPr>
      <w:ind w:firstLine="420" w:firstLineChars="200"/>
    </w:pPr>
    <w:rPr>
      <w:rFonts w:ascii="Calibri"/>
    </w:rPr>
  </w:style>
  <w:style w:type="paragraph" w:customStyle="1" w:styleId="52">
    <w:name w:val="标准文本"/>
    <w:basedOn w:val="1"/>
    <w:qFormat/>
    <w:uiPriority w:val="0"/>
    <w:pPr>
      <w:spacing w:line="360" w:lineRule="auto"/>
      <w:ind w:firstLine="480" w:firstLineChars="200"/>
    </w:pPr>
    <w:rPr>
      <w:rFonts w:ascii="Times New Roman" w:cs="宋体"/>
      <w:sz w:val="24"/>
    </w:rPr>
  </w:style>
  <w:style w:type="paragraph" w:customStyle="1" w:styleId="53">
    <w:name w:val="正文缩进3"/>
    <w:basedOn w:val="1"/>
    <w:qFormat/>
    <w:uiPriority w:val="0"/>
    <w:pPr>
      <w:autoSpaceDE w:val="0"/>
      <w:autoSpaceDN w:val="0"/>
      <w:adjustRightInd w:val="0"/>
      <w:ind w:firstLine="420"/>
    </w:pPr>
    <w:rPr>
      <w:rFonts w:ascii="Times New Roman"/>
      <w:szCs w:val="21"/>
    </w:rPr>
  </w:style>
  <w:style w:type="paragraph" w:customStyle="1" w:styleId="54">
    <w:name w:val="表格"/>
    <w:basedOn w:val="1"/>
    <w:qFormat/>
    <w:uiPriority w:val="0"/>
    <w:pPr>
      <w:spacing w:line="400" w:lineRule="exact"/>
    </w:pPr>
    <w:rPr>
      <w:rFonts w:ascii="Times New Roman"/>
      <w:sz w:val="24"/>
    </w:rPr>
  </w:style>
  <w:style w:type="paragraph" w:styleId="55">
    <w:name w:val="List Paragraph"/>
    <w:basedOn w:val="1"/>
    <w:qFormat/>
    <w:uiPriority w:val="0"/>
    <w:pPr>
      <w:ind w:firstLine="420" w:firstLineChars="200"/>
    </w:pPr>
    <w:rPr>
      <w:rFonts w:ascii="Times New Roman"/>
      <w:sz w:val="18"/>
      <w:szCs w:val="18"/>
    </w:rPr>
  </w:style>
  <w:style w:type="paragraph" w:customStyle="1" w:styleId="56">
    <w:name w:val="Char1 Char Char Char"/>
    <w:basedOn w:val="1"/>
    <w:qFormat/>
    <w:uiPriority w:val="0"/>
    <w:rPr>
      <w:rFonts w:ascii="Times New Roman" w:eastAsia="仿宋_GB2312"/>
      <w:sz w:val="28"/>
    </w:rPr>
  </w:style>
  <w:style w:type="paragraph" w:customStyle="1" w:styleId="57">
    <w:name w:val="正文首行缩进两字符"/>
    <w:basedOn w:val="1"/>
    <w:qFormat/>
    <w:uiPriority w:val="0"/>
    <w:pPr>
      <w:spacing w:line="360" w:lineRule="auto"/>
      <w:ind w:firstLine="200" w:firstLineChars="200"/>
    </w:pPr>
    <w:rPr>
      <w:rFonts w:ascii="Times New Roman"/>
    </w:rPr>
  </w:style>
  <w:style w:type="paragraph" w:customStyle="1" w:styleId="58">
    <w:name w:val="Body Text 22"/>
    <w:basedOn w:val="1"/>
    <w:qFormat/>
    <w:uiPriority w:val="0"/>
    <w:pPr>
      <w:adjustRightInd w:val="0"/>
      <w:spacing w:line="300" w:lineRule="auto"/>
      <w:jc w:val="center"/>
      <w:textAlignment w:val="baseline"/>
    </w:pPr>
    <w:rPr>
      <w:rFonts w:hAnsi="宋体"/>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列出段落1"/>
    <w:basedOn w:val="1"/>
    <w:qFormat/>
    <w:uiPriority w:val="0"/>
    <w:pPr>
      <w:ind w:firstLine="420" w:firstLineChars="200"/>
    </w:pPr>
    <w:rPr>
      <w:rFonts w:ascii="Times New Roman"/>
    </w:rPr>
  </w:style>
  <w:style w:type="paragraph" w:customStyle="1" w:styleId="61">
    <w:name w:val="p0"/>
    <w:basedOn w:val="1"/>
    <w:qFormat/>
    <w:uiPriority w:val="0"/>
    <w:pPr>
      <w:widowControl/>
    </w:pPr>
    <w:rPr>
      <w:rFonts w:ascii="Times New Roman"/>
      <w:szCs w:val="21"/>
    </w:rPr>
  </w:style>
  <w:style w:type="paragraph" w:customStyle="1" w:styleId="62">
    <w:name w:val="左对齐的表内文字1"/>
    <w:basedOn w:val="1"/>
    <w:qFormat/>
    <w:uiPriority w:val="0"/>
    <w:rPr>
      <w:rFonts w:ascii="Times New Roman"/>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ascii="宋体"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val="none"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29</Pages>
  <Words>11078</Words>
  <Characters>11640</Characters>
  <Lines>139</Lines>
  <Paragraphs>39</Paragraphs>
  <TotalTime>177</TotalTime>
  <ScaleCrop>false</ScaleCrop>
  <LinksUpToDate>false</LinksUpToDate>
  <CharactersWithSpaces>12020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2022-11-09T02:02:00Z</cp:lastPrinted>
  <dcterms:modified xsi:type="dcterms:W3CDTF">2022-11-11T00:45:10Z</dcterms:modified>
  <dc:title>招标编号：SCSZ-2013-02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E7558D7948BD46B49D504D1EAC59F27E</vt:lpwstr>
  </property>
</Properties>
</file>