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ind w:firstLine="3240" w:firstLineChars="900"/>
        <w:rPr>
          <w:rFonts w:hAnsi="宋体"/>
          <w:color w:val="000000"/>
          <w:sz w:val="36"/>
          <w:szCs w:val="36"/>
        </w:rPr>
      </w:pPr>
    </w:p>
    <w:p>
      <w:pPr>
        <w:snapToGrid w:val="0"/>
        <w:spacing w:line="360" w:lineRule="auto"/>
        <w:ind w:firstLine="360" w:firstLineChars="100"/>
        <w:jc w:val="center"/>
        <w:rPr>
          <w:rFonts w:hAnsi="宋体" w:cs="宋体"/>
          <w:bCs/>
          <w:sz w:val="36"/>
          <w:szCs w:val="36"/>
        </w:rPr>
      </w:pPr>
      <w:r>
        <w:rPr>
          <w:rFonts w:hint="eastAsia" w:hAnsi="宋体" w:cs="宋体"/>
          <w:bCs/>
          <w:sz w:val="36"/>
          <w:szCs w:val="36"/>
        </w:rPr>
        <w:t>庆祝建校70周年庆典大会、主题晚会舞美制作</w:t>
      </w:r>
      <w:r>
        <w:rPr>
          <w:rFonts w:hint="eastAsia" w:hAnsi="宋体" w:cs="宋体"/>
          <w:bCs/>
          <w:sz w:val="36"/>
          <w:szCs w:val="36"/>
          <w:lang w:val="en-US" w:eastAsia="zh-CN"/>
        </w:rPr>
        <w:t>第2次</w:t>
      </w:r>
    </w:p>
    <w:p>
      <w:pPr>
        <w:snapToGrid w:val="0"/>
        <w:spacing w:line="360" w:lineRule="auto"/>
        <w:ind w:firstLine="3300" w:firstLineChars="1100"/>
        <w:rPr>
          <w:rFonts w:hint="default" w:hAnsi="宋体" w:eastAsia="宋体" w:cs="宋体"/>
          <w:bCs/>
          <w:sz w:val="30"/>
          <w:szCs w:val="30"/>
          <w:lang w:val="en-US" w:eastAsia="zh-CN"/>
        </w:rPr>
      </w:pPr>
      <w:r>
        <w:rPr>
          <w:rFonts w:hint="eastAsia" w:hAnsi="宋体" w:cs="宋体"/>
          <w:bCs/>
          <w:sz w:val="30"/>
          <w:szCs w:val="30"/>
        </w:rPr>
        <w:t>采购编号：TZY-ZB-2022031</w:t>
      </w:r>
      <w:r>
        <w:rPr>
          <w:rFonts w:hint="eastAsia" w:hAnsi="宋体" w:cs="宋体"/>
          <w:bCs/>
          <w:sz w:val="30"/>
          <w:szCs w:val="30"/>
          <w:lang w:val="en-US" w:eastAsia="zh-CN"/>
        </w:rPr>
        <w:t>-1</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r>
        <w:rPr>
          <w:rFonts w:hint="eastAsia" w:hAnsi="宋体" w:cs="宋体"/>
          <w:b/>
          <w:sz w:val="72"/>
          <w:szCs w:val="72"/>
        </w:rPr>
        <w:t>招</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标</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文</w:t>
      </w:r>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r>
        <w:rPr>
          <w:rFonts w:hint="eastAsia" w:hAnsi="宋体" w:cs="宋体"/>
          <w:b/>
          <w:sz w:val="72"/>
          <w:szCs w:val="72"/>
        </w:rPr>
        <w:t>件</w:t>
      </w:r>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cs="宋体"/>
          <w:sz w:val="30"/>
          <w:szCs w:val="30"/>
        </w:rPr>
      </w:pPr>
      <w:r>
        <w:rPr>
          <w:rFonts w:hint="eastAsia" w:cs="宋体"/>
          <w:sz w:val="30"/>
          <w:szCs w:val="30"/>
        </w:rPr>
        <w:t>采   购   人: 四川铁道职业学院</w:t>
      </w:r>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rPr>
        <w:t>2022</w:t>
      </w:r>
      <w:r>
        <w:rPr>
          <w:rFonts w:hint="eastAsia" w:hAnsi="宋体" w:cs="宋体"/>
          <w:bCs/>
          <w:sz w:val="30"/>
          <w:szCs w:val="30"/>
          <w:lang w:val="zh-CN"/>
        </w:rPr>
        <w:t>年</w:t>
      </w:r>
      <w:r>
        <w:rPr>
          <w:rFonts w:hint="eastAsia" w:hAnsi="宋体" w:cs="宋体"/>
          <w:bCs/>
          <w:sz w:val="30"/>
          <w:szCs w:val="30"/>
        </w:rPr>
        <w:t>11</w:t>
      </w:r>
      <w:r>
        <w:rPr>
          <w:rFonts w:hint="eastAsia" w:hAnsi="宋体" w:cs="宋体"/>
          <w:bCs/>
          <w:sz w:val="30"/>
          <w:szCs w:val="30"/>
          <w:lang w:val="zh-CN"/>
        </w:rPr>
        <w:t>月</w:t>
      </w:r>
      <w:bookmarkStart w:id="0" w:name="_Hlt101233737"/>
      <w:bookmarkEnd w:id="0"/>
      <w:bookmarkStart w:id="1" w:name="_Hlt101843627"/>
      <w:bookmarkEnd w:id="1"/>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5"/>
        <w:snapToGrid w:val="0"/>
        <w:spacing w:before="0" w:after="0" w:line="360" w:lineRule="auto"/>
        <w:jc w:val="center"/>
        <w:rPr>
          <w:rStyle w:val="29"/>
          <w:rFonts w:ascii="宋体" w:hAnsi="宋体" w:cs="宋体"/>
          <w:color w:val="auto"/>
          <w:kern w:val="2"/>
          <w:sz w:val="44"/>
          <w:szCs w:val="44"/>
          <w:u w:val="none"/>
        </w:rPr>
      </w:pPr>
      <w:r>
        <w:rPr>
          <w:rStyle w:val="29"/>
          <w:rFonts w:hint="eastAsia" w:ascii="宋体" w:hAnsi="宋体" w:cs="宋体"/>
          <w:color w:val="auto"/>
          <w:kern w:val="2"/>
          <w:sz w:val="44"/>
          <w:szCs w:val="44"/>
          <w:u w:val="none"/>
        </w:rPr>
        <w:t>目    录</w:t>
      </w:r>
    </w:p>
    <w:p/>
    <w:p>
      <w:pPr>
        <w:pStyle w:val="16"/>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16"/>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t>3</w:t>
      </w:r>
    </w:p>
    <w:p>
      <w:pPr>
        <w:pStyle w:val="16"/>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t>9</w:t>
      </w:r>
    </w:p>
    <w:p>
      <w:pPr>
        <w:pStyle w:val="16"/>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5</w:t>
      </w:r>
    </w:p>
    <w:p>
      <w:pPr>
        <w:pStyle w:val="16"/>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2" w:name="_Hlt360036320"/>
      <w:bookmarkStart w:id="3" w:name="_Hlt360036319"/>
      <w:r>
        <w:rPr>
          <w:rFonts w:hint="eastAsia" w:hAnsi="宋体" w:cs="宋体"/>
          <w:sz w:val="28"/>
          <w:szCs w:val="28"/>
        </w:rPr>
        <w:tab/>
      </w:r>
      <w:bookmarkEnd w:id="2"/>
      <w:bookmarkEnd w:id="3"/>
      <w:r>
        <w:rPr>
          <w:rFonts w:hint="eastAsia" w:hAnsi="宋体" w:cs="宋体"/>
          <w:sz w:val="28"/>
          <w:szCs w:val="28"/>
        </w:rPr>
        <w:fldChar w:fldCharType="end"/>
      </w:r>
      <w:r>
        <w:rPr>
          <w:rFonts w:hint="eastAsia" w:hAnsi="宋体" w:cs="宋体"/>
          <w:sz w:val="28"/>
          <w:szCs w:val="28"/>
        </w:rPr>
        <w:t>19</w:t>
      </w:r>
    </w:p>
    <w:p>
      <w:pPr>
        <w:pStyle w:val="16"/>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rPr>
        <w:t>22</w:t>
      </w:r>
    </w:p>
    <w:p/>
    <w:p/>
    <w:p/>
    <w:p/>
    <w:p>
      <w:pPr>
        <w:tabs>
          <w:tab w:val="left" w:pos="1854"/>
        </w:tabs>
        <w:jc w:val="left"/>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rPr>
        <w:tab/>
      </w:r>
    </w:p>
    <w:p>
      <w:pPr>
        <w:pStyle w:val="4"/>
        <w:snapToGrid w:val="0"/>
        <w:spacing w:before="0" w:after="0" w:line="360" w:lineRule="auto"/>
        <w:jc w:val="center"/>
        <w:rPr>
          <w:rFonts w:hAnsi="宋体" w:cs="宋体"/>
          <w:sz w:val="30"/>
          <w:szCs w:val="30"/>
        </w:rPr>
      </w:pPr>
      <w:bookmarkStart w:id="4" w:name="_Toc358883241"/>
      <w:r>
        <w:rPr>
          <w:rFonts w:hint="eastAsia" w:hAnsi="宋体" w:cs="宋体"/>
          <w:sz w:val="30"/>
          <w:szCs w:val="30"/>
        </w:rPr>
        <w:t>第一章  投标邀请</w:t>
      </w:r>
      <w:bookmarkEnd w:id="4"/>
    </w:p>
    <w:p>
      <w:pPr>
        <w:snapToGrid w:val="0"/>
        <w:spacing w:line="360" w:lineRule="auto"/>
        <w:ind w:firstLine="480" w:firstLineChars="200"/>
        <w:rPr>
          <w:rFonts w:ascii="仿宋_GB2312" w:hAnsi="宋体" w:eastAsia="仿宋_GB2312"/>
          <w:sz w:val="28"/>
        </w:rPr>
      </w:pPr>
      <w:r>
        <w:rPr>
          <w:rFonts w:hint="eastAsia" w:hAnsi="宋体" w:cs="宋体"/>
          <w:bCs/>
          <w:sz w:val="24"/>
          <w:szCs w:val="24"/>
          <w:u w:val="single"/>
        </w:rPr>
        <w:t xml:space="preserve"> 四川铁道职业学院</w:t>
      </w:r>
      <w:r>
        <w:rPr>
          <w:rFonts w:hint="eastAsia" w:hAnsi="宋体" w:cs="宋体"/>
          <w:bCs/>
          <w:sz w:val="24"/>
          <w:szCs w:val="24"/>
        </w:rPr>
        <w:t>就</w:t>
      </w:r>
      <w:r>
        <w:rPr>
          <w:rFonts w:hint="eastAsia" w:hAnsi="宋体" w:cs="宋体"/>
          <w:bCs/>
          <w:sz w:val="24"/>
          <w:szCs w:val="24"/>
          <w:u w:val="single"/>
        </w:rPr>
        <w:t>庆祝建校70周年庆典大会、主题晚会舞美制作</w:t>
      </w:r>
      <w:r>
        <w:rPr>
          <w:rFonts w:hint="eastAsia" w:hAnsi="宋体" w:cs="宋体"/>
          <w:bCs/>
          <w:sz w:val="24"/>
          <w:szCs w:val="24"/>
        </w:rPr>
        <w:t>采购项目进行公开招标，兹邀请符合本次招标要求的供应商参加投标</w:t>
      </w:r>
      <w:r>
        <w:rPr>
          <w:rFonts w:hint="eastAsia" w:hAnsi="宋体" w:cs="宋体"/>
          <w:sz w:val="24"/>
          <w:szCs w:val="24"/>
        </w:rPr>
        <w:t>。</w:t>
      </w:r>
    </w:p>
    <w:p>
      <w:pPr>
        <w:pStyle w:val="10"/>
        <w:numPr>
          <w:ilvl w:val="0"/>
          <w:numId w:val="2"/>
        </w:numPr>
        <w:snapToGrid w:val="0"/>
        <w:spacing w:line="360" w:lineRule="auto"/>
        <w:ind w:firstLine="441" w:firstLineChars="183"/>
        <w:rPr>
          <w:rFonts w:ascii="宋体" w:hAnsi="宋体" w:cs="宋体"/>
          <w:b/>
          <w:sz w:val="24"/>
          <w:szCs w:val="24"/>
          <w:u w:val="single"/>
        </w:rPr>
      </w:pPr>
      <w:r>
        <w:rPr>
          <w:rFonts w:hint="eastAsia" w:ascii="宋体" w:hAnsi="宋体" w:cs="宋体"/>
          <w:b/>
          <w:sz w:val="24"/>
          <w:szCs w:val="24"/>
        </w:rPr>
        <w:t>招标编号：TZY-ZB-2022031</w:t>
      </w:r>
      <w:r>
        <w:rPr>
          <w:rFonts w:hint="eastAsia" w:ascii="宋体" w:hAnsi="宋体" w:cs="宋体"/>
          <w:b/>
          <w:sz w:val="24"/>
          <w:szCs w:val="24"/>
          <w:lang w:val="en-US" w:eastAsia="zh-CN"/>
        </w:rPr>
        <w:t>-1</w:t>
      </w:r>
    </w:p>
    <w:p>
      <w:pPr>
        <w:pStyle w:val="10"/>
        <w:numPr>
          <w:ilvl w:val="0"/>
          <w:numId w:val="2"/>
        </w:numPr>
        <w:snapToGrid w:val="0"/>
        <w:spacing w:line="360" w:lineRule="auto"/>
        <w:ind w:firstLine="441" w:firstLineChars="183"/>
        <w:rPr>
          <w:rFonts w:ascii="宋体" w:hAnsi="宋体" w:cs="宋体"/>
          <w:bCs/>
          <w:sz w:val="24"/>
          <w:szCs w:val="24"/>
          <w:lang w:val="zh-CN"/>
        </w:rPr>
      </w:pPr>
      <w:r>
        <w:rPr>
          <w:rFonts w:hint="eastAsia" w:ascii="宋体" w:hAnsi="宋体" w:cs="宋体"/>
          <w:b/>
          <w:sz w:val="24"/>
          <w:szCs w:val="24"/>
        </w:rPr>
        <w:t>招标项目：</w:t>
      </w:r>
      <w:r>
        <w:rPr>
          <w:rFonts w:hint="eastAsia" w:hAnsi="宋体" w:cs="宋体"/>
          <w:bCs/>
          <w:sz w:val="24"/>
          <w:szCs w:val="24"/>
        </w:rPr>
        <w:t>庆祝建校70周年庆典大会、主题晚会舞美制作采购</w:t>
      </w:r>
    </w:p>
    <w:p>
      <w:pPr>
        <w:pStyle w:val="10"/>
        <w:snapToGrid w:val="0"/>
        <w:spacing w:line="360" w:lineRule="auto"/>
        <w:ind w:firstLine="441" w:firstLineChars="183"/>
        <w:rPr>
          <w:rFonts w:hAnsi="宋体" w:cs="宋体"/>
          <w:bCs/>
          <w:sz w:val="24"/>
          <w:szCs w:val="24"/>
        </w:rPr>
      </w:pPr>
      <w:r>
        <w:rPr>
          <w:rFonts w:hint="eastAsia" w:ascii="宋体" w:hAnsi="宋体" w:cs="宋体"/>
          <w:b/>
          <w:sz w:val="24"/>
          <w:szCs w:val="24"/>
        </w:rPr>
        <w:t>三、资金来源：</w:t>
      </w:r>
      <w:r>
        <w:rPr>
          <w:rFonts w:hint="eastAsia" w:hAnsi="宋体" w:cs="宋体"/>
          <w:bCs/>
          <w:sz w:val="24"/>
          <w:szCs w:val="24"/>
        </w:rPr>
        <w:t>财政资金</w:t>
      </w:r>
    </w:p>
    <w:p>
      <w:pPr>
        <w:pStyle w:val="10"/>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四、招标项目概况：</w:t>
      </w:r>
      <w:r>
        <w:rPr>
          <w:rFonts w:hint="eastAsia" w:hAnsi="宋体" w:cs="宋体"/>
          <w:sz w:val="24"/>
          <w:szCs w:val="24"/>
        </w:rPr>
        <w:t>详见第四章</w:t>
      </w:r>
    </w:p>
    <w:p>
      <w:pPr>
        <w:pStyle w:val="10"/>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投标人必须符合《政府采购法》第二十二条要求，且满足以下条件：</w:t>
      </w:r>
    </w:p>
    <w:p>
      <w:pPr>
        <w:tabs>
          <w:tab w:val="left" w:pos="7665"/>
        </w:tabs>
        <w:spacing w:line="440" w:lineRule="exact"/>
        <w:ind w:firstLine="600" w:firstLineChars="250"/>
        <w:rPr>
          <w:rFonts w:hAnsi="宋体" w:cs="宋体"/>
          <w:sz w:val="24"/>
          <w:szCs w:val="22"/>
        </w:rPr>
      </w:pPr>
      <w:r>
        <w:rPr>
          <w:rFonts w:hint="eastAsia" w:hAnsi="宋体" w:cs="宋体"/>
          <w:sz w:val="24"/>
          <w:szCs w:val="22"/>
        </w:rPr>
        <w:t>1.具有独立承担民事责任的能力；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2.具有良好的商业信誉和健全的财务会计制度；</w:t>
      </w:r>
    </w:p>
    <w:p>
      <w:pPr>
        <w:tabs>
          <w:tab w:val="left" w:pos="7665"/>
        </w:tabs>
        <w:spacing w:line="440" w:lineRule="exact"/>
        <w:ind w:firstLine="600" w:firstLineChars="250"/>
        <w:rPr>
          <w:rFonts w:hAnsi="宋体" w:cs="宋体"/>
          <w:sz w:val="24"/>
          <w:szCs w:val="22"/>
        </w:rPr>
      </w:pPr>
      <w:r>
        <w:rPr>
          <w:rFonts w:hint="eastAsia" w:hAnsi="宋体" w:cs="宋体"/>
          <w:sz w:val="24"/>
          <w:szCs w:val="22"/>
        </w:rPr>
        <w:t>3.具有履行合同所必须的设备和专业技术能力；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4.具有依法缴纳税收和社会保障资金的良好记录；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5.参加本次采购活动前三年内，在经营活动中没有重大违法记录；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6.法律、行政法规规定的其他条件；</w:t>
      </w:r>
    </w:p>
    <w:p>
      <w:pPr>
        <w:tabs>
          <w:tab w:val="left" w:pos="7665"/>
        </w:tabs>
        <w:spacing w:line="440" w:lineRule="exact"/>
        <w:ind w:firstLine="600" w:firstLineChars="250"/>
        <w:rPr>
          <w:rFonts w:hAnsi="宋体" w:cs="宋体"/>
          <w:sz w:val="24"/>
          <w:szCs w:val="24"/>
        </w:rPr>
      </w:pPr>
      <w:r>
        <w:rPr>
          <w:rFonts w:hint="eastAsia" w:hAnsi="宋体" w:cs="宋体"/>
          <w:sz w:val="24"/>
          <w:szCs w:val="22"/>
        </w:rPr>
        <w:t>7.本项目不接受联合体参与招标。</w:t>
      </w:r>
    </w:p>
    <w:p>
      <w:pPr>
        <w:snapToGrid w:val="0"/>
        <w:spacing w:line="360" w:lineRule="auto"/>
        <w:ind w:firstLine="479" w:firstLineChars="199"/>
        <w:rPr>
          <w:rFonts w:hAnsi="宋体" w:cs="宋体"/>
          <w:sz w:val="24"/>
          <w:szCs w:val="24"/>
        </w:rPr>
      </w:pPr>
      <w:r>
        <w:rPr>
          <w:rFonts w:hint="eastAsia" w:hAnsi="宋体" w:cs="宋体"/>
          <w:b/>
          <w:sz w:val="24"/>
          <w:szCs w:val="24"/>
        </w:rPr>
        <w:t xml:space="preserve">六、投标截止时间和开标时间：2022 </w:t>
      </w:r>
      <w:r>
        <w:rPr>
          <w:rFonts w:hint="eastAsia" w:hAnsi="宋体" w:cs="宋体"/>
          <w:bCs/>
          <w:sz w:val="24"/>
          <w:szCs w:val="24"/>
        </w:rPr>
        <w:t xml:space="preserve">年 11月7日 10:00 </w:t>
      </w:r>
      <w:r>
        <w:rPr>
          <w:rFonts w:hint="eastAsia" w:hAnsi="宋体" w:cs="宋体"/>
          <w:sz w:val="24"/>
          <w:szCs w:val="24"/>
        </w:rPr>
        <w:t>（北京时间）。</w:t>
      </w:r>
    </w:p>
    <w:p>
      <w:pPr>
        <w:pStyle w:val="10"/>
        <w:snapToGrid w:val="0"/>
        <w:spacing w:line="360" w:lineRule="auto"/>
        <w:ind w:firstLine="439" w:firstLineChars="183"/>
        <w:rPr>
          <w:rFonts w:ascii="宋体" w:hAnsi="宋体" w:cs="宋体"/>
          <w:sz w:val="24"/>
          <w:szCs w:val="24"/>
        </w:rPr>
      </w:pPr>
      <w:r>
        <w:rPr>
          <w:rFonts w:hint="eastAsia" w:ascii="宋体" w:hAnsi="宋体" w:cs="宋体"/>
          <w:sz w:val="24"/>
          <w:szCs w:val="24"/>
        </w:rPr>
        <w:t>投标文件必须在投标截止时间前送达开标地点，并签到（签到地点：</w:t>
      </w:r>
      <w:r>
        <w:rPr>
          <w:rFonts w:hint="eastAsia" w:hAnsi="宋体" w:cs="宋体"/>
          <w:sz w:val="24"/>
        </w:rPr>
        <w:t>四川成都郫都区安德街道彭温路399号</w:t>
      </w:r>
      <w:r>
        <w:rPr>
          <w:rFonts w:hint="eastAsia" w:ascii="宋体"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10"/>
        <w:snapToGrid w:val="0"/>
        <w:spacing w:line="360" w:lineRule="auto"/>
        <w:ind w:firstLine="439" w:firstLineChars="183"/>
        <w:rPr>
          <w:rFonts w:ascii="宋体" w:hAnsi="宋体" w:cs="宋体"/>
          <w:sz w:val="24"/>
          <w:szCs w:val="24"/>
        </w:rPr>
      </w:pPr>
      <w:r>
        <w:rPr>
          <w:rFonts w:hint="eastAsia" w:ascii="宋体" w:hAnsi="宋体" w:cs="宋体"/>
          <w:sz w:val="24"/>
          <w:szCs w:val="24"/>
        </w:rPr>
        <w:t>特别说明：因疫情期间，为保证安全，请前来投标的商家戴好口罩，准备健康二维码，服从学校疫情管理，做好个人防护。</w:t>
      </w:r>
    </w:p>
    <w:p>
      <w:pPr>
        <w:pStyle w:val="10"/>
        <w:snapToGrid w:val="0"/>
        <w:spacing w:line="360" w:lineRule="auto"/>
        <w:ind w:firstLine="482" w:firstLineChars="200"/>
        <w:rPr>
          <w:rFonts w:ascii="宋体" w:hAnsi="宋体" w:cs="宋体"/>
          <w:sz w:val="24"/>
          <w:szCs w:val="24"/>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w:t>
      </w:r>
      <w:r>
        <w:rPr>
          <w:rFonts w:hint="eastAsia" w:hAnsi="宋体" w:cs="宋体"/>
          <w:sz w:val="24"/>
        </w:rPr>
        <w:t>四川成都市郫都区安德街道彭温路399号后勤基建办公区2F开标室</w:t>
      </w:r>
    </w:p>
    <w:p>
      <w:pPr>
        <w:pStyle w:val="59"/>
        <w:snapToGrid w:val="0"/>
        <w:ind w:firstLine="479" w:firstLineChars="199"/>
        <w:rPr>
          <w:rFonts w:hAnsi="宋体" w:cs="宋体"/>
          <w:b/>
          <w:sz w:val="24"/>
          <w:szCs w:val="24"/>
        </w:rPr>
      </w:pPr>
      <w:r>
        <w:rPr>
          <w:rFonts w:hint="eastAsia" w:hAnsi="宋体" w:cs="宋体"/>
          <w:b/>
          <w:sz w:val="24"/>
          <w:szCs w:val="24"/>
        </w:rPr>
        <w:t>八、联系方式</w:t>
      </w:r>
    </w:p>
    <w:p>
      <w:pPr>
        <w:pStyle w:val="59"/>
        <w:snapToGrid w:val="0"/>
        <w:ind w:firstLine="950" w:firstLineChars="396"/>
        <w:rPr>
          <w:rFonts w:hAnsi="宋体" w:cs="宋体"/>
          <w:snapToGrid w:val="0"/>
          <w:sz w:val="24"/>
        </w:rPr>
      </w:pPr>
      <w:r>
        <w:rPr>
          <w:rFonts w:hint="eastAsia" w:hAnsi="宋体" w:cs="宋体"/>
          <w:snapToGrid w:val="0"/>
          <w:sz w:val="24"/>
        </w:rPr>
        <w:t>采购人：四川铁道职业学院</w:t>
      </w:r>
    </w:p>
    <w:p>
      <w:pPr>
        <w:pStyle w:val="59"/>
        <w:snapToGrid w:val="0"/>
        <w:ind w:firstLine="919" w:firstLineChars="383"/>
        <w:rPr>
          <w:rFonts w:hAnsi="宋体" w:cs="宋体"/>
          <w:sz w:val="24"/>
          <w:highlight w:val="yellow"/>
        </w:rPr>
      </w:pPr>
      <w:r>
        <w:rPr>
          <w:rFonts w:hint="eastAsia" w:hAnsi="宋体" w:cs="宋体"/>
          <w:bCs/>
          <w:sz w:val="24"/>
        </w:rPr>
        <w:t xml:space="preserve">地址： </w:t>
      </w:r>
      <w:r>
        <w:rPr>
          <w:rFonts w:hint="eastAsia" w:hAnsi="宋体" w:cs="宋体"/>
          <w:sz w:val="24"/>
        </w:rPr>
        <w:t>成都市郫都区安德街道彭温路399号</w:t>
      </w:r>
    </w:p>
    <w:p>
      <w:pPr>
        <w:pStyle w:val="59"/>
        <w:snapToGrid w:val="0"/>
        <w:ind w:firstLine="919" w:firstLineChars="383"/>
        <w:rPr>
          <w:rFonts w:hAnsi="宋体" w:cs="宋体"/>
          <w:sz w:val="24"/>
        </w:rPr>
      </w:pPr>
      <w:r>
        <w:rPr>
          <w:rFonts w:hint="eastAsia" w:hAnsi="宋体" w:cs="宋体"/>
          <w:sz w:val="24"/>
        </w:rPr>
        <w:t xml:space="preserve">联系人：贺老师、  汪老师    </w:t>
      </w:r>
    </w:p>
    <w:p>
      <w:pPr>
        <w:pStyle w:val="59"/>
        <w:snapToGrid w:val="0"/>
        <w:ind w:firstLine="919" w:firstLineChars="383"/>
        <w:rPr>
          <w:rFonts w:hAnsi="宋体" w:cs="宋体"/>
          <w:sz w:val="24"/>
        </w:rPr>
      </w:pPr>
      <w:r>
        <w:rPr>
          <w:rFonts w:hint="eastAsia" w:hAnsi="宋体" w:cs="宋体"/>
          <w:sz w:val="24"/>
        </w:rPr>
        <w:t>联系电话：028-68939908 、  028-68939875</w:t>
      </w:r>
    </w:p>
    <w:p>
      <w:pPr>
        <w:pStyle w:val="4"/>
        <w:snapToGrid w:val="0"/>
        <w:spacing w:before="0" w:after="0" w:line="360" w:lineRule="auto"/>
        <w:jc w:val="center"/>
        <w:rPr>
          <w:rFonts w:hAnsi="宋体" w:cs="宋体"/>
          <w:sz w:val="30"/>
          <w:szCs w:val="30"/>
        </w:rPr>
      </w:pPr>
      <w:r>
        <w:rPr>
          <w:rFonts w:hint="eastAsia" w:hAnsi="宋体" w:cs="宋体"/>
          <w:sz w:val="24"/>
        </w:rPr>
        <w:t xml:space="preserve"> </w:t>
      </w:r>
      <w:bookmarkStart w:id="5" w:name="_Toc213396759"/>
      <w:bookmarkStart w:id="6" w:name="_Toc213396945"/>
      <w:bookmarkStart w:id="7" w:name="_Toc213397009"/>
      <w:bookmarkStart w:id="8" w:name="_Toc217446031"/>
      <w:bookmarkStart w:id="9" w:name="_Toc213496267"/>
      <w:bookmarkStart w:id="10" w:name="_Toc358883242"/>
      <w:r>
        <w:rPr>
          <w:rFonts w:hint="eastAsia" w:hAnsi="宋体" w:cs="宋体"/>
          <w:sz w:val="30"/>
          <w:szCs w:val="30"/>
        </w:rPr>
        <w:t>第二章  投标人须知</w:t>
      </w:r>
      <w:bookmarkEnd w:id="5"/>
      <w:bookmarkEnd w:id="6"/>
      <w:bookmarkEnd w:id="7"/>
      <w:bookmarkEnd w:id="8"/>
      <w:bookmarkEnd w:id="9"/>
      <w:bookmarkEnd w:id="10"/>
    </w:p>
    <w:p>
      <w:pPr>
        <w:pStyle w:val="5"/>
        <w:snapToGrid w:val="0"/>
        <w:spacing w:before="0" w:after="0" w:line="360" w:lineRule="auto"/>
        <w:jc w:val="center"/>
        <w:rPr>
          <w:rFonts w:ascii="宋体" w:hAnsi="宋体" w:eastAsia="宋体" w:cs="宋体"/>
          <w:sz w:val="30"/>
          <w:szCs w:val="30"/>
        </w:rPr>
      </w:pPr>
      <w:bookmarkStart w:id="11" w:name="_Toc217446032"/>
      <w:bookmarkStart w:id="12" w:name="_Toc213396946"/>
      <w:bookmarkStart w:id="13" w:name="_Toc213496268"/>
      <w:bookmarkStart w:id="14" w:name="_Toc189727030"/>
      <w:bookmarkStart w:id="15" w:name="_Toc213396760"/>
      <w:bookmarkStart w:id="16" w:name="_Toc213397010"/>
      <w:r>
        <w:rPr>
          <w:rFonts w:hint="eastAsia" w:ascii="宋体" w:hAnsi="宋体" w:eastAsia="宋体" w:cs="宋体"/>
          <w:sz w:val="30"/>
          <w:szCs w:val="30"/>
        </w:rPr>
        <w:t>一、投标人须知附表</w:t>
      </w:r>
      <w:bookmarkEnd w:id="11"/>
      <w:bookmarkEnd w:id="12"/>
      <w:bookmarkEnd w:id="13"/>
      <w:bookmarkEnd w:id="14"/>
      <w:bookmarkEnd w:id="15"/>
      <w:bookmarkEnd w:id="16"/>
    </w:p>
    <w:tbl>
      <w:tblPr>
        <w:tblStyle w:val="23"/>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61"/>
              <w:snapToGrid w:val="0"/>
              <w:spacing w:line="360" w:lineRule="auto"/>
              <w:jc w:val="center"/>
              <w:rPr>
                <w:lang w:val="zh-CN"/>
              </w:rPr>
            </w:pPr>
            <w:r>
              <w:rPr>
                <w:rFonts w:hint="eastAsia"/>
                <w:lang w:val="zh-CN"/>
              </w:rPr>
              <w:t xml:space="preserve">序号 </w:t>
            </w:r>
          </w:p>
        </w:tc>
        <w:tc>
          <w:tcPr>
            <w:tcW w:w="1916" w:type="dxa"/>
            <w:vAlign w:val="center"/>
          </w:tcPr>
          <w:p>
            <w:pPr>
              <w:pStyle w:val="61"/>
              <w:snapToGrid w:val="0"/>
              <w:spacing w:line="360" w:lineRule="auto"/>
              <w:jc w:val="center"/>
              <w:rPr>
                <w:lang w:val="zh-CN"/>
              </w:rPr>
            </w:pPr>
            <w:r>
              <w:rPr>
                <w:rFonts w:hint="eastAsia"/>
                <w:lang w:val="zh-CN"/>
              </w:rPr>
              <w:t xml:space="preserve">应知事项 </w:t>
            </w:r>
          </w:p>
        </w:tc>
        <w:tc>
          <w:tcPr>
            <w:tcW w:w="6819" w:type="dxa"/>
            <w:vAlign w:val="center"/>
          </w:tcPr>
          <w:p>
            <w:pPr>
              <w:pStyle w:val="61"/>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61"/>
              <w:snapToGrid w:val="0"/>
              <w:spacing w:line="360" w:lineRule="auto"/>
              <w:jc w:val="center"/>
            </w:pPr>
            <w:r>
              <w:rPr>
                <w:rFonts w:hint="eastAsia"/>
              </w:rPr>
              <w:t>1</w:t>
            </w:r>
          </w:p>
        </w:tc>
        <w:tc>
          <w:tcPr>
            <w:tcW w:w="1916" w:type="dxa"/>
            <w:vAlign w:val="center"/>
          </w:tcPr>
          <w:p>
            <w:pPr>
              <w:pStyle w:val="61"/>
              <w:snapToGrid w:val="0"/>
              <w:spacing w:line="360" w:lineRule="auto"/>
              <w:jc w:val="center"/>
              <w:rPr>
                <w:lang w:val="zh-CN"/>
              </w:rPr>
            </w:pPr>
            <w:r>
              <w:rPr>
                <w:rFonts w:hint="eastAsia"/>
                <w:lang w:val="zh-CN"/>
              </w:rPr>
              <w:t>采购人</w:t>
            </w:r>
          </w:p>
        </w:tc>
        <w:tc>
          <w:tcPr>
            <w:tcW w:w="6819" w:type="dxa"/>
            <w:vAlign w:val="center"/>
          </w:tcPr>
          <w:p>
            <w:pPr>
              <w:pStyle w:val="59"/>
              <w:snapToGrid w:val="0"/>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61"/>
              <w:snapToGrid w:val="0"/>
              <w:spacing w:line="360" w:lineRule="auto"/>
              <w:ind w:firstLine="240" w:firstLineChars="100"/>
              <w:rPr>
                <w:lang w:val="zh-CN"/>
              </w:rPr>
            </w:pPr>
            <w:r>
              <w:rPr>
                <w:rFonts w:hint="eastAsia"/>
                <w:lang w:val="zh-CN"/>
              </w:rPr>
              <w:t>地址：</w:t>
            </w:r>
            <w:r>
              <w:rPr>
                <w:rFonts w:hint="eastAsia"/>
              </w:rPr>
              <w:t>四川成都郫都区安德街道彭温路399号</w:t>
            </w:r>
          </w:p>
          <w:p>
            <w:pPr>
              <w:pStyle w:val="61"/>
              <w:snapToGrid w:val="0"/>
              <w:spacing w:line="360" w:lineRule="auto"/>
              <w:ind w:firstLine="240" w:firstLineChars="100"/>
              <w:rPr>
                <w:lang w:val="zh-CN"/>
              </w:rPr>
            </w:pPr>
            <w:r>
              <w:rPr>
                <w:rFonts w:hint="eastAsia"/>
                <w:lang w:val="zh-CN"/>
              </w:rPr>
              <w:t>联 系 人：贺老师、汪老师</w:t>
            </w:r>
          </w:p>
          <w:p>
            <w:pPr>
              <w:pStyle w:val="61"/>
              <w:snapToGrid w:val="0"/>
              <w:spacing w:line="360" w:lineRule="auto"/>
              <w:ind w:firstLine="240" w:firstLineChars="100"/>
            </w:pPr>
            <w:r>
              <w:rPr>
                <w:rFonts w:hint="eastAsia"/>
                <w:lang w:val="zh-CN"/>
              </w:rPr>
              <w:t>联系电话：</w:t>
            </w:r>
            <w:r>
              <w:rPr>
                <w:rFonts w:hint="eastAsia"/>
              </w:rPr>
              <w:t>028-68939875  028-68939908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pPr>
            <w:r>
              <w:rPr>
                <w:rFonts w:hint="eastAsia"/>
              </w:rPr>
              <w:t>2</w:t>
            </w:r>
          </w:p>
        </w:tc>
        <w:tc>
          <w:tcPr>
            <w:tcW w:w="1916" w:type="dxa"/>
            <w:vAlign w:val="center"/>
          </w:tcPr>
          <w:p>
            <w:pPr>
              <w:pStyle w:val="61"/>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61"/>
              <w:snapToGrid w:val="0"/>
              <w:spacing w:line="360" w:lineRule="auto"/>
              <w:ind w:firstLine="240" w:firstLineChars="100"/>
            </w:pPr>
            <w:r>
              <w:rPr>
                <w:rFonts w:hint="eastAsia"/>
                <w:bCs/>
              </w:rPr>
              <w:t>庆祝建校70周年庆典大会、主题晚会舞美制作采购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61"/>
              <w:snapToGrid w:val="0"/>
              <w:spacing w:line="360" w:lineRule="auto"/>
              <w:jc w:val="center"/>
            </w:pPr>
            <w:r>
              <w:rPr>
                <w:rFonts w:hint="eastAsia"/>
              </w:rPr>
              <w:t>3</w:t>
            </w:r>
          </w:p>
        </w:tc>
        <w:tc>
          <w:tcPr>
            <w:tcW w:w="1916" w:type="dxa"/>
            <w:vAlign w:val="center"/>
          </w:tcPr>
          <w:p>
            <w:pPr>
              <w:pStyle w:val="61"/>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61"/>
              <w:snapToGrid w:val="0"/>
              <w:spacing w:line="360" w:lineRule="auto"/>
              <w:ind w:firstLine="240" w:firstLineChars="100"/>
              <w:rPr>
                <w:rFonts w:hint="default" w:eastAsia="宋体"/>
                <w:lang w:val="en-US" w:eastAsia="zh-CN"/>
              </w:rPr>
            </w:pPr>
            <w:r>
              <w:rPr>
                <w:rFonts w:hint="eastAsia"/>
              </w:rPr>
              <w:t>TZY-ZB-2022031</w:t>
            </w:r>
            <w:r>
              <w:rPr>
                <w:rFonts w:hint="eastAsia"/>
                <w:lang w:val="en-US" w:eastAsia="zh-CN"/>
              </w:rPr>
              <w:t>-1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pPr>
            <w:r>
              <w:rPr>
                <w:rFonts w:hint="eastAsia"/>
              </w:rPr>
              <w:t>4</w:t>
            </w:r>
          </w:p>
        </w:tc>
        <w:tc>
          <w:tcPr>
            <w:tcW w:w="1916" w:type="dxa"/>
            <w:vAlign w:val="center"/>
          </w:tcPr>
          <w:p>
            <w:pPr>
              <w:pStyle w:val="61"/>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61"/>
              <w:snapToGrid w:val="0"/>
              <w:spacing w:line="360" w:lineRule="auto"/>
              <w:ind w:firstLine="240" w:firstLineChars="100"/>
              <w:rPr>
                <w:lang w:val="zh-CN"/>
              </w:rPr>
            </w:pPr>
            <w:r>
              <w:rPr>
                <w:lang w:val="zh-CN"/>
              </w:rPr>
              <w:t>财政资金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rPr>
                <w:lang w:val="zh-CN"/>
              </w:rPr>
            </w:pPr>
            <w:r>
              <w:rPr>
                <w:rFonts w:hint="eastAsia"/>
              </w:rPr>
              <w:t>5</w:t>
            </w:r>
          </w:p>
        </w:tc>
        <w:tc>
          <w:tcPr>
            <w:tcW w:w="1916" w:type="dxa"/>
            <w:vAlign w:val="center"/>
          </w:tcPr>
          <w:p>
            <w:pPr>
              <w:pStyle w:val="61"/>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61"/>
              <w:snapToGrid w:val="0"/>
              <w:spacing w:line="360" w:lineRule="auto"/>
              <w:ind w:firstLine="240" w:firstLineChars="100"/>
            </w:pPr>
            <w:r>
              <w:rPr>
                <w:rFonts w:hint="eastAsia"/>
              </w:rPr>
              <w:t>7万元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61"/>
              <w:snapToGrid w:val="0"/>
              <w:spacing w:line="360" w:lineRule="auto"/>
              <w:jc w:val="center"/>
            </w:pPr>
            <w:r>
              <w:rPr>
                <w:rFonts w:hint="eastAsia"/>
              </w:rPr>
              <w:t>6</w:t>
            </w:r>
          </w:p>
        </w:tc>
        <w:tc>
          <w:tcPr>
            <w:tcW w:w="1916" w:type="dxa"/>
            <w:vAlign w:val="center"/>
          </w:tcPr>
          <w:p>
            <w:pPr>
              <w:pStyle w:val="61"/>
              <w:snapToGrid w:val="0"/>
              <w:spacing w:line="360" w:lineRule="auto"/>
              <w:jc w:val="center"/>
              <w:rPr>
                <w:lang w:val="zh-CN"/>
              </w:rPr>
            </w:pPr>
            <w:r>
              <w:rPr>
                <w:rFonts w:hint="eastAsia"/>
                <w:lang w:val="zh-CN"/>
              </w:rPr>
              <w:t>构成招标文件的其他文件</w:t>
            </w:r>
          </w:p>
        </w:tc>
        <w:tc>
          <w:tcPr>
            <w:tcW w:w="6819" w:type="dxa"/>
            <w:vAlign w:val="center"/>
          </w:tcPr>
          <w:p>
            <w:pPr>
              <w:pStyle w:val="61"/>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rPr>
                <w:lang w:val="zh-CN"/>
              </w:rPr>
            </w:pPr>
            <w:r>
              <w:rPr>
                <w:rFonts w:hint="eastAsia"/>
              </w:rPr>
              <w:t>7</w:t>
            </w:r>
          </w:p>
        </w:tc>
        <w:tc>
          <w:tcPr>
            <w:tcW w:w="1916" w:type="dxa"/>
            <w:vAlign w:val="center"/>
          </w:tcPr>
          <w:p>
            <w:pPr>
              <w:pStyle w:val="61"/>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61"/>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rPr>
                <w:lang w:val="zh-CN"/>
              </w:rPr>
            </w:pPr>
            <w:r>
              <w:rPr>
                <w:rFonts w:hint="eastAsia"/>
              </w:rPr>
              <w:t>8</w:t>
            </w:r>
          </w:p>
        </w:tc>
        <w:tc>
          <w:tcPr>
            <w:tcW w:w="1916" w:type="dxa"/>
            <w:vAlign w:val="center"/>
          </w:tcPr>
          <w:p>
            <w:pPr>
              <w:pStyle w:val="61"/>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61"/>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rPr>
                <w:lang w:val="zh-CN"/>
              </w:rPr>
            </w:pPr>
            <w:r>
              <w:rPr>
                <w:rFonts w:hint="eastAsia"/>
                <w:lang w:val="zh-CN"/>
              </w:rPr>
              <w:t>a.时间和地点详见 “投标邀请”;</w:t>
            </w:r>
          </w:p>
          <w:p>
            <w:pPr>
              <w:pStyle w:val="61"/>
              <w:snapToGrid w:val="0"/>
              <w:spacing w:line="360" w:lineRule="auto"/>
              <w:rPr>
                <w:lang w:val="zh-CN"/>
              </w:rPr>
            </w:pPr>
            <w:r>
              <w:rPr>
                <w:rFonts w:hint="eastAsia"/>
                <w:lang w:val="zh-CN"/>
              </w:rPr>
              <w:t>b.采购人在招标文件规定的时间和地点组织开标，投标人代表人执有效身份证参加。</w:t>
            </w:r>
          </w:p>
          <w:p>
            <w:pPr>
              <w:pStyle w:val="61"/>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rPr>
                <w:highlight w:val="yellow"/>
                <w:lang w:val="zh-CN"/>
              </w:rPr>
            </w:pPr>
            <w:r>
              <w:rPr>
                <w:rFonts w:hint="eastAsia"/>
                <w:lang w:val="zh-CN"/>
              </w:rPr>
              <w:t>时间：</w:t>
            </w:r>
            <w:r>
              <w:rPr>
                <w:rFonts w:hint="eastAsia"/>
              </w:rPr>
              <w:t xml:space="preserve">2022 </w:t>
            </w:r>
            <w:r>
              <w:rPr>
                <w:rFonts w:hint="eastAsia"/>
                <w:lang w:val="zh-CN"/>
              </w:rPr>
              <w:t>年</w:t>
            </w:r>
            <w:r>
              <w:rPr>
                <w:rFonts w:hint="eastAsia"/>
              </w:rPr>
              <w:t>11 月</w:t>
            </w:r>
            <w:r>
              <w:rPr>
                <w:rFonts w:hint="eastAsia"/>
                <w:lang w:val="en-US" w:eastAsia="zh-CN"/>
              </w:rPr>
              <w:t xml:space="preserve"> 07 </w:t>
            </w:r>
            <w:r>
              <w:rPr>
                <w:rFonts w:hint="eastAsia"/>
                <w:lang w:val="zh-CN"/>
              </w:rPr>
              <w:t>日</w:t>
            </w:r>
            <w:r>
              <w:rPr>
                <w:rFonts w:hint="eastAsia"/>
              </w:rPr>
              <w:t>10:00</w:t>
            </w:r>
            <w:r>
              <w:rPr>
                <w:rFonts w:hint="eastAsia"/>
                <w:lang w:val="zh-CN"/>
              </w:rPr>
              <w:t>（北京时间）</w:t>
            </w:r>
          </w:p>
          <w:p>
            <w:pPr>
              <w:pStyle w:val="61"/>
              <w:snapToGrid w:val="0"/>
              <w:spacing w:line="360" w:lineRule="auto"/>
              <w:ind w:firstLine="240" w:firstLineChars="100"/>
            </w:pPr>
            <w:r>
              <w:rPr>
                <w:rFonts w:hint="eastAsia"/>
                <w:lang w:val="zh-CN"/>
              </w:rPr>
              <w:t>地点：</w:t>
            </w:r>
            <w:r>
              <w:rPr>
                <w:rFonts w:hint="eastAsia"/>
              </w:rPr>
              <w:t>四川成都郫都区安德街道彭温路399号后勤基建办公区2F开标室</w:t>
            </w:r>
          </w:p>
        </w:tc>
      </w:tr>
    </w:tbl>
    <w:p>
      <w:pPr>
        <w:snapToGrid w:val="0"/>
        <w:spacing w:line="360" w:lineRule="auto"/>
        <w:rPr>
          <w:rFonts w:hAnsi="宋体" w:cs="宋体"/>
          <w:bCs/>
          <w:sz w:val="30"/>
          <w:szCs w:val="30"/>
        </w:rPr>
      </w:pPr>
    </w:p>
    <w:p>
      <w:pPr>
        <w:pStyle w:val="5"/>
        <w:snapToGrid w:val="0"/>
        <w:spacing w:before="0" w:after="0" w:line="360" w:lineRule="auto"/>
        <w:jc w:val="center"/>
        <w:rPr>
          <w:rFonts w:ascii="宋体" w:hAnsi="宋体" w:eastAsia="宋体" w:cs="宋体"/>
          <w:sz w:val="30"/>
          <w:szCs w:val="30"/>
        </w:rPr>
      </w:pPr>
      <w:bookmarkStart w:id="17" w:name="_Toc183682346"/>
      <w:bookmarkStart w:id="18" w:name="_Toc217446038"/>
      <w:bookmarkStart w:id="19" w:name="_Toc183582209"/>
      <w:bookmarkStart w:id="20" w:name="_Toc89075875"/>
      <w:bookmarkStart w:id="21" w:name="_Toc77400779"/>
      <w:r>
        <w:rPr>
          <w:rFonts w:hint="eastAsia" w:ascii="宋体" w:hAnsi="宋体" w:eastAsia="宋体" w:cs="宋体"/>
          <w:sz w:val="30"/>
          <w:szCs w:val="30"/>
        </w:rPr>
        <w:t>二、招标文件</w:t>
      </w:r>
      <w:bookmarkEnd w:id="17"/>
      <w:bookmarkEnd w:id="18"/>
      <w:bookmarkEnd w:id="19"/>
      <w:bookmarkEnd w:id="20"/>
      <w:bookmarkEnd w:id="21"/>
    </w:p>
    <w:p>
      <w:pPr>
        <w:pStyle w:val="6"/>
        <w:snapToGrid w:val="0"/>
        <w:spacing w:before="0" w:after="0" w:line="360" w:lineRule="auto"/>
        <w:ind w:firstLine="161" w:firstLineChars="67"/>
        <w:rPr>
          <w:rFonts w:hAnsi="宋体" w:cs="宋体"/>
          <w:sz w:val="24"/>
          <w:szCs w:val="24"/>
        </w:rPr>
      </w:pPr>
      <w:bookmarkStart w:id="22" w:name="_Toc183582210"/>
      <w:bookmarkStart w:id="23" w:name="_Toc183682347"/>
      <w:bookmarkStart w:id="24" w:name="_Toc217446039"/>
      <w:r>
        <w:rPr>
          <w:rFonts w:hint="eastAsia" w:hAnsi="宋体" w:cs="宋体"/>
          <w:sz w:val="24"/>
          <w:szCs w:val="24"/>
        </w:rPr>
        <w:t>1．招标文件的构成</w:t>
      </w:r>
      <w:bookmarkEnd w:id="22"/>
      <w:bookmarkEnd w:id="23"/>
      <w:bookmarkEnd w:id="24"/>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6"/>
        <w:snapToGrid w:val="0"/>
        <w:spacing w:before="0" w:after="0" w:line="360" w:lineRule="auto"/>
        <w:ind w:firstLine="161" w:firstLineChars="67"/>
        <w:rPr>
          <w:rFonts w:hAnsi="宋体" w:cs="宋体"/>
          <w:sz w:val="24"/>
          <w:szCs w:val="24"/>
        </w:rPr>
      </w:pPr>
      <w:bookmarkStart w:id="25" w:name="_Toc183682348"/>
      <w:bookmarkStart w:id="26" w:name="_Toc183582211"/>
      <w:bookmarkStart w:id="27" w:name="_Toc217446040"/>
      <w:r>
        <w:rPr>
          <w:rFonts w:hint="eastAsia" w:hAnsi="宋体" w:cs="宋体"/>
          <w:sz w:val="24"/>
          <w:szCs w:val="24"/>
        </w:rPr>
        <w:t>2. 招标文件的澄清</w:t>
      </w:r>
      <w:bookmarkEnd w:id="25"/>
      <w:bookmarkEnd w:id="26"/>
      <w:r>
        <w:rPr>
          <w:rFonts w:hint="eastAsia" w:hAnsi="宋体" w:cs="宋体"/>
          <w:sz w:val="24"/>
          <w:szCs w:val="24"/>
        </w:rPr>
        <w:t>和修改</w:t>
      </w:r>
      <w:bookmarkEnd w:id="27"/>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left="3" w:leftChars="1" w:firstLine="240" w:firstLineChars="1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5"/>
        <w:snapToGrid w:val="0"/>
        <w:spacing w:before="0" w:after="0" w:line="360" w:lineRule="auto"/>
        <w:jc w:val="center"/>
        <w:rPr>
          <w:rFonts w:ascii="宋体" w:hAnsi="宋体" w:eastAsia="宋体" w:cs="宋体"/>
          <w:sz w:val="30"/>
          <w:szCs w:val="30"/>
        </w:rPr>
      </w:pPr>
      <w:bookmarkStart w:id="28" w:name="_Toc183682351"/>
      <w:bookmarkStart w:id="29" w:name="_Toc89075876"/>
      <w:bookmarkStart w:id="30" w:name="_Toc77400780"/>
      <w:bookmarkStart w:id="31" w:name="_Toc217446042"/>
      <w:bookmarkStart w:id="32" w:name="_Toc183582214"/>
      <w:r>
        <w:rPr>
          <w:rFonts w:hint="eastAsia" w:ascii="宋体" w:hAnsi="宋体" w:eastAsia="宋体" w:cs="宋体"/>
          <w:sz w:val="30"/>
          <w:szCs w:val="30"/>
        </w:rPr>
        <w:t>三、投标文件</w:t>
      </w:r>
      <w:bookmarkEnd w:id="28"/>
      <w:bookmarkEnd w:id="29"/>
      <w:bookmarkEnd w:id="30"/>
      <w:bookmarkEnd w:id="31"/>
      <w:bookmarkEnd w:id="32"/>
    </w:p>
    <w:p>
      <w:pPr>
        <w:pStyle w:val="6"/>
        <w:snapToGrid w:val="0"/>
        <w:spacing w:before="0" w:after="0" w:line="360" w:lineRule="auto"/>
        <w:ind w:firstLine="161" w:firstLineChars="67"/>
        <w:rPr>
          <w:rFonts w:hAnsi="宋体" w:cs="宋体"/>
          <w:sz w:val="24"/>
          <w:szCs w:val="24"/>
        </w:rPr>
      </w:pPr>
      <w:bookmarkStart w:id="33" w:name="_Toc217446043"/>
      <w:bookmarkStart w:id="34" w:name="_Toc183682352"/>
      <w:bookmarkStart w:id="35" w:name="_Toc183582215"/>
      <w:r>
        <w:rPr>
          <w:rFonts w:hint="eastAsia" w:hAnsi="宋体" w:cs="宋体"/>
          <w:sz w:val="24"/>
          <w:szCs w:val="24"/>
        </w:rPr>
        <w:t>3．投标文件的语言</w:t>
      </w:r>
      <w:bookmarkEnd w:id="33"/>
      <w:bookmarkEnd w:id="34"/>
      <w:bookmarkEnd w:id="35"/>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6"/>
        <w:snapToGrid w:val="0"/>
        <w:spacing w:before="0" w:after="0" w:line="360" w:lineRule="auto"/>
        <w:ind w:firstLine="161" w:firstLineChars="67"/>
        <w:rPr>
          <w:rFonts w:hAnsi="宋体" w:cs="宋体"/>
          <w:sz w:val="24"/>
          <w:szCs w:val="24"/>
        </w:rPr>
      </w:pPr>
      <w:bookmarkStart w:id="36" w:name="_Toc217446045"/>
      <w:r>
        <w:rPr>
          <w:rFonts w:hint="eastAsia" w:hAnsi="宋体" w:cs="宋体"/>
          <w:sz w:val="24"/>
          <w:szCs w:val="24"/>
        </w:rPr>
        <w:t>4. 投标货币</w:t>
      </w:r>
      <w:bookmarkEnd w:id="36"/>
    </w:p>
    <w:p>
      <w:pPr>
        <w:tabs>
          <w:tab w:val="left" w:pos="7665"/>
        </w:tabs>
        <w:snapToGrid w:val="0"/>
        <w:spacing w:line="360" w:lineRule="auto"/>
        <w:ind w:hanging="118"/>
        <w:rPr>
          <w:rFonts w:hAnsi="宋体" w:cs="宋体"/>
          <w:sz w:val="24"/>
          <w:szCs w:val="24"/>
        </w:rPr>
      </w:pPr>
      <w:r>
        <w:rPr>
          <w:rFonts w:hint="eastAsia" w:hAnsi="宋体" w:cs="宋体"/>
          <w:sz w:val="24"/>
          <w:szCs w:val="24"/>
        </w:rPr>
        <w:t>本次招标项目的投标均以人民币报价。</w:t>
      </w:r>
    </w:p>
    <w:p>
      <w:pPr>
        <w:pStyle w:val="6"/>
        <w:snapToGrid w:val="0"/>
        <w:spacing w:before="0" w:after="0" w:line="360" w:lineRule="auto"/>
        <w:ind w:firstLine="161" w:firstLineChars="67"/>
        <w:rPr>
          <w:rFonts w:hAnsi="宋体" w:cs="宋体"/>
          <w:sz w:val="24"/>
          <w:szCs w:val="24"/>
        </w:rPr>
      </w:pPr>
      <w:bookmarkStart w:id="37" w:name="_Toc217446047"/>
      <w:r>
        <w:rPr>
          <w:rFonts w:hint="eastAsia" w:hAnsi="宋体" w:cs="宋体"/>
          <w:sz w:val="24"/>
          <w:szCs w:val="24"/>
        </w:rPr>
        <w:t>5. 知识产权</w:t>
      </w:r>
      <w:bookmarkEnd w:id="37"/>
    </w:p>
    <w:p>
      <w:pPr>
        <w:pStyle w:val="10"/>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0"/>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.2 采购人享有本项目实施过程中产生的知识成果及知识产权。</w:t>
      </w:r>
    </w:p>
    <w:p>
      <w:pPr>
        <w:pStyle w:val="6"/>
        <w:snapToGrid w:val="0"/>
        <w:spacing w:before="0" w:after="0" w:line="360" w:lineRule="auto"/>
        <w:ind w:firstLine="161" w:firstLineChars="67"/>
        <w:rPr>
          <w:rFonts w:hAnsi="宋体" w:cs="宋体"/>
          <w:sz w:val="24"/>
          <w:szCs w:val="24"/>
        </w:rPr>
      </w:pPr>
      <w:bookmarkStart w:id="38" w:name="_Toc183682354"/>
      <w:bookmarkStart w:id="39" w:name="_Toc217446048"/>
      <w:bookmarkStart w:id="40" w:name="_Toc183582217"/>
      <w:bookmarkStart w:id="41" w:name="_Toc217446093"/>
      <w:bookmarkStart w:id="42" w:name="_Toc358883246"/>
      <w:r>
        <w:rPr>
          <w:rFonts w:hint="eastAsia" w:hAnsi="宋体" w:cs="宋体"/>
          <w:sz w:val="24"/>
          <w:szCs w:val="24"/>
        </w:rPr>
        <w:t>6．投标文件的组成</w:t>
      </w:r>
      <w:bookmarkEnd w:id="38"/>
      <w:bookmarkEnd w:id="39"/>
      <w:bookmarkEnd w:id="40"/>
      <w:bookmarkStart w:id="43" w:name="_Toc217446049"/>
      <w:bookmarkStart w:id="44" w:name="_Toc183582218"/>
      <w:bookmarkStart w:id="45" w:name="_Toc183682355"/>
      <w:r>
        <w:rPr>
          <w:rFonts w:hint="eastAsia" w:hAnsi="宋体" w:cs="宋体"/>
          <w:sz w:val="24"/>
          <w:szCs w:val="24"/>
        </w:rPr>
        <w:t>。</w:t>
      </w:r>
    </w:p>
    <w:p>
      <w:pPr>
        <w:pStyle w:val="6"/>
        <w:snapToGrid w:val="0"/>
        <w:spacing w:before="0" w:after="0" w:line="360" w:lineRule="auto"/>
        <w:ind w:firstLine="640" w:firstLineChars="267"/>
        <w:rPr>
          <w:rFonts w:hAnsi="宋体" w:cs="宋体"/>
          <w:sz w:val="24"/>
          <w:szCs w:val="24"/>
        </w:rPr>
      </w:pPr>
      <w:r>
        <w:rPr>
          <w:rFonts w:hint="eastAsia" w:hAnsi="宋体" w:cs="宋体"/>
          <w:b w:val="0"/>
          <w:kern w:val="2"/>
          <w:sz w:val="24"/>
          <w:szCs w:val="24"/>
        </w:rPr>
        <w:t>投标文件包括：</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10"/>
        <w:numPr>
          <w:ilvl w:val="0"/>
          <w:numId w:val="4"/>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10"/>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10"/>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7.投标文件的说明。</w:t>
      </w:r>
    </w:p>
    <w:p>
      <w:pPr>
        <w:pStyle w:val="10"/>
        <w:snapToGrid w:val="0"/>
        <w:spacing w:line="360" w:lineRule="auto"/>
        <w:ind w:left="120" w:firstLine="240" w:firstLineChars="1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10"/>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10"/>
        <w:snapToGrid w:val="0"/>
        <w:spacing w:line="360" w:lineRule="auto"/>
        <w:ind w:firstLine="360" w:firstLineChars="150"/>
        <w:rPr>
          <w:rFonts w:ascii="宋体" w:hAnsi="宋体" w:cs="宋体"/>
          <w:sz w:val="24"/>
          <w:szCs w:val="24"/>
        </w:rPr>
      </w:pPr>
      <w:r>
        <w:rPr>
          <w:rFonts w:hint="eastAsia" w:ascii="宋体" w:hAnsi="宋体" w:cs="宋体"/>
          <w:sz w:val="24"/>
          <w:szCs w:val="24"/>
        </w:rPr>
        <w:t>（1）投标产品的品牌、型号、配置；</w:t>
      </w:r>
    </w:p>
    <w:p>
      <w:pPr>
        <w:pStyle w:val="10"/>
        <w:snapToGrid w:val="0"/>
        <w:spacing w:line="360" w:lineRule="auto"/>
        <w:ind w:firstLine="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10"/>
        <w:snapToGrid w:val="0"/>
        <w:spacing w:line="360" w:lineRule="auto"/>
        <w:ind w:firstLine="360" w:firstLineChars="150"/>
        <w:rPr>
          <w:rFonts w:ascii="宋体" w:hAnsi="宋体" w:cs="宋体"/>
          <w:sz w:val="24"/>
          <w:szCs w:val="24"/>
        </w:rPr>
      </w:pPr>
      <w:r>
        <w:rPr>
          <w:rFonts w:hint="eastAsia" w:ascii="宋体" w:hAnsi="宋体" w:cs="宋体"/>
          <w:sz w:val="24"/>
          <w:szCs w:val="24"/>
        </w:rPr>
        <w:t>（3）技术方案、项目实施方案；</w:t>
      </w:r>
    </w:p>
    <w:p>
      <w:pPr>
        <w:pStyle w:val="10"/>
        <w:snapToGrid w:val="0"/>
        <w:spacing w:line="360" w:lineRule="auto"/>
        <w:ind w:firstLine="360" w:firstLineChars="150"/>
        <w:rPr>
          <w:rFonts w:ascii="宋体" w:hAnsi="宋体" w:cs="宋体"/>
          <w:sz w:val="24"/>
          <w:szCs w:val="24"/>
        </w:rPr>
      </w:pPr>
      <w:r>
        <w:rPr>
          <w:rFonts w:hint="eastAsia" w:ascii="宋体" w:hAnsi="宋体" w:cs="宋体"/>
          <w:sz w:val="24"/>
          <w:szCs w:val="24"/>
        </w:rPr>
        <w:t>（4）投标产品技术参数表。</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6"/>
        <w:tabs>
          <w:tab w:val="left" w:pos="3480"/>
        </w:tabs>
        <w:snapToGrid w:val="0"/>
        <w:spacing w:before="0" w:after="0" w:line="360" w:lineRule="auto"/>
        <w:ind w:firstLine="120" w:firstLineChars="50"/>
        <w:rPr>
          <w:rFonts w:hAnsi="宋体" w:cs="宋体"/>
          <w:sz w:val="24"/>
          <w:szCs w:val="24"/>
        </w:rPr>
      </w:pPr>
      <w:r>
        <w:rPr>
          <w:rFonts w:hint="eastAsia" w:hAnsi="宋体" w:cs="宋体"/>
          <w:sz w:val="24"/>
          <w:szCs w:val="24"/>
        </w:rPr>
        <w:t>8．投标文件格式</w:t>
      </w:r>
      <w:bookmarkEnd w:id="43"/>
      <w:bookmarkEnd w:id="44"/>
      <w:bookmarkEnd w:id="45"/>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6"/>
        <w:snapToGrid w:val="0"/>
        <w:spacing w:before="0" w:after="0" w:line="360" w:lineRule="auto"/>
        <w:ind w:firstLine="161" w:firstLineChars="67"/>
        <w:rPr>
          <w:rFonts w:hAnsi="宋体" w:cs="宋体"/>
          <w:sz w:val="24"/>
          <w:szCs w:val="24"/>
        </w:rPr>
      </w:pPr>
      <w:bookmarkStart w:id="46" w:name="_Toc183682361"/>
      <w:bookmarkStart w:id="47" w:name="_Toc217446051"/>
      <w:bookmarkStart w:id="48" w:name="_Toc183582224"/>
      <w:r>
        <w:rPr>
          <w:rFonts w:hint="eastAsia" w:hAnsi="宋体" w:cs="宋体"/>
          <w:sz w:val="24"/>
          <w:szCs w:val="24"/>
        </w:rPr>
        <w:t>9．投标有效期</w:t>
      </w:r>
      <w:bookmarkEnd w:id="46"/>
      <w:bookmarkEnd w:id="47"/>
      <w:bookmarkEnd w:id="48"/>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6"/>
        <w:snapToGrid w:val="0"/>
        <w:spacing w:before="0" w:after="0" w:line="360" w:lineRule="auto"/>
        <w:ind w:firstLine="161" w:firstLineChars="67"/>
        <w:rPr>
          <w:rFonts w:hAnsi="宋体" w:cs="宋体"/>
          <w:sz w:val="24"/>
          <w:szCs w:val="24"/>
        </w:rPr>
      </w:pPr>
      <w:bookmarkStart w:id="49" w:name="_Toc183682363"/>
      <w:bookmarkStart w:id="50" w:name="_Toc89075877"/>
      <w:bookmarkStart w:id="51" w:name="_Toc77400781"/>
      <w:bookmarkStart w:id="52" w:name="_Toc183582226"/>
      <w:bookmarkStart w:id="53" w:name="_Toc217446053"/>
      <w:r>
        <w:rPr>
          <w:rFonts w:hint="eastAsia" w:hAnsi="宋体" w:cs="宋体"/>
          <w:sz w:val="24"/>
          <w:szCs w:val="24"/>
        </w:rPr>
        <w:t>10. 投标文件的密封和标</w:t>
      </w:r>
      <w:bookmarkEnd w:id="49"/>
      <w:bookmarkEnd w:id="50"/>
      <w:bookmarkEnd w:id="51"/>
      <w:bookmarkEnd w:id="52"/>
      <w:r>
        <w:rPr>
          <w:rFonts w:hint="eastAsia" w:hAnsi="宋体" w:cs="宋体"/>
          <w:sz w:val="24"/>
          <w:szCs w:val="24"/>
        </w:rPr>
        <w:t>注</w:t>
      </w:r>
      <w:bookmarkEnd w:id="53"/>
    </w:p>
    <w:p>
      <w:pPr>
        <w:tabs>
          <w:tab w:val="left" w:pos="7665"/>
        </w:tabs>
        <w:snapToGrid w:val="0"/>
        <w:spacing w:line="360" w:lineRule="auto"/>
        <w:ind w:hanging="1"/>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6"/>
        <w:snapToGrid w:val="0"/>
        <w:spacing w:before="0" w:after="0" w:line="360" w:lineRule="auto"/>
        <w:ind w:firstLine="161" w:firstLineChars="67"/>
        <w:rPr>
          <w:rFonts w:hAnsi="宋体" w:cs="宋体"/>
          <w:sz w:val="24"/>
          <w:szCs w:val="24"/>
        </w:rPr>
      </w:pPr>
      <w:bookmarkStart w:id="54" w:name="_Toc183682364"/>
      <w:bookmarkStart w:id="55" w:name="_Toc183582227"/>
      <w:bookmarkStart w:id="56" w:name="_Toc217446054"/>
      <w:r>
        <w:rPr>
          <w:rFonts w:hint="eastAsia" w:hAnsi="宋体" w:cs="宋体"/>
          <w:sz w:val="24"/>
          <w:szCs w:val="24"/>
        </w:rPr>
        <w:t>11．投标文件的</w:t>
      </w:r>
      <w:bookmarkEnd w:id="54"/>
      <w:bookmarkEnd w:id="55"/>
      <w:r>
        <w:rPr>
          <w:rFonts w:hint="eastAsia" w:hAnsi="宋体" w:cs="宋体"/>
          <w:sz w:val="24"/>
          <w:szCs w:val="24"/>
        </w:rPr>
        <w:t>递交</w:t>
      </w:r>
      <w:bookmarkEnd w:id="56"/>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6"/>
        <w:snapToGrid w:val="0"/>
        <w:spacing w:before="0" w:after="0" w:line="360" w:lineRule="auto"/>
        <w:ind w:firstLine="161" w:firstLineChars="67"/>
        <w:rPr>
          <w:rFonts w:hAnsi="宋体" w:cs="宋体"/>
          <w:sz w:val="24"/>
          <w:szCs w:val="24"/>
        </w:rPr>
      </w:pPr>
      <w:bookmarkStart w:id="57" w:name="_Toc183582228"/>
      <w:bookmarkStart w:id="58" w:name="_Toc183682365"/>
      <w:bookmarkStart w:id="59" w:name="_Toc217446055"/>
      <w:r>
        <w:rPr>
          <w:rFonts w:hint="eastAsia" w:hAnsi="宋体" w:cs="宋体"/>
          <w:sz w:val="24"/>
          <w:szCs w:val="24"/>
        </w:rPr>
        <w:t>12．投标文件的修改和撤</w:t>
      </w:r>
      <w:bookmarkEnd w:id="57"/>
      <w:bookmarkEnd w:id="58"/>
      <w:r>
        <w:rPr>
          <w:rFonts w:hint="eastAsia" w:hAnsi="宋体" w:cs="宋体"/>
          <w:sz w:val="24"/>
          <w:szCs w:val="24"/>
        </w:rPr>
        <w:t>回</w:t>
      </w:r>
      <w:bookmarkEnd w:id="59"/>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60" w:name="_Toc183582231"/>
      <w:bookmarkStart w:id="61" w:name="_Toc183682368"/>
      <w:bookmarkStart w:id="62" w:name="_Toc217446056"/>
      <w:bookmarkStart w:id="63" w:name="_Toc89075878"/>
      <w:bookmarkStart w:id="64" w:name="_Toc77400782"/>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60"/>
      <w:bookmarkEnd w:id="61"/>
      <w:bookmarkEnd w:id="62"/>
      <w:bookmarkEnd w:id="63"/>
      <w:bookmarkEnd w:id="64"/>
      <w:bookmarkStart w:id="65" w:name="_Toc183582232"/>
      <w:bookmarkStart w:id="66" w:name="_Toc217446057"/>
      <w:bookmarkStart w:id="67" w:name="_Toc183682369"/>
    </w:p>
    <w:p>
      <w:pPr>
        <w:tabs>
          <w:tab w:val="left" w:pos="1095"/>
        </w:tabs>
        <w:snapToGrid w:val="0"/>
        <w:spacing w:line="360" w:lineRule="auto"/>
        <w:rPr>
          <w:rFonts w:hAnsi="宋体" w:cs="宋体"/>
          <w:b/>
          <w:sz w:val="24"/>
          <w:szCs w:val="24"/>
        </w:rPr>
      </w:pPr>
      <w:r>
        <w:rPr>
          <w:rFonts w:hint="eastAsia" w:hAnsi="宋体" w:cs="宋体"/>
          <w:b/>
          <w:sz w:val="24"/>
          <w:szCs w:val="24"/>
        </w:rPr>
        <w:t>13．开标</w:t>
      </w:r>
      <w:bookmarkEnd w:id="65"/>
      <w:bookmarkEnd w:id="66"/>
      <w:bookmarkEnd w:id="67"/>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14．评标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6"/>
        <w:snapToGrid w:val="0"/>
        <w:spacing w:before="0" w:after="0" w:line="360" w:lineRule="auto"/>
        <w:ind w:firstLine="161" w:firstLineChars="67"/>
        <w:rPr>
          <w:rFonts w:hAnsi="宋体" w:cs="宋体"/>
          <w:sz w:val="24"/>
          <w:szCs w:val="24"/>
        </w:rPr>
      </w:pPr>
      <w:bookmarkStart w:id="68" w:name="_Toc183582238"/>
      <w:bookmarkStart w:id="69" w:name="_Toc183682375"/>
      <w:bookmarkStart w:id="70" w:name="_Toc217446063"/>
      <w:r>
        <w:rPr>
          <w:rFonts w:hint="eastAsia" w:hAnsi="宋体" w:cs="宋体"/>
          <w:sz w:val="24"/>
          <w:szCs w:val="24"/>
        </w:rPr>
        <w:t>15．中标通知</w:t>
      </w:r>
      <w:bookmarkEnd w:id="68"/>
      <w:bookmarkEnd w:id="69"/>
      <w:r>
        <w:rPr>
          <w:rFonts w:hint="eastAsia" w:hAnsi="宋体" w:cs="宋体"/>
          <w:sz w:val="24"/>
          <w:szCs w:val="24"/>
        </w:rPr>
        <w:t>书</w:t>
      </w:r>
      <w:bookmarkEnd w:id="70"/>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71" w:name="_Toc217446064"/>
      <w:bookmarkStart w:id="72" w:name="_Toc183582240"/>
      <w:bookmarkStart w:id="73" w:name="_Toc183682377"/>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71"/>
    </w:p>
    <w:p>
      <w:pPr>
        <w:pStyle w:val="5"/>
        <w:snapToGrid w:val="0"/>
        <w:spacing w:before="0" w:after="0" w:line="360" w:lineRule="auto"/>
        <w:ind w:firstLine="161" w:firstLineChars="67"/>
        <w:rPr>
          <w:rFonts w:ascii="宋体" w:hAnsi="宋体" w:eastAsia="宋体" w:cs="宋体"/>
          <w:sz w:val="24"/>
          <w:szCs w:val="24"/>
        </w:rPr>
      </w:pPr>
      <w:bookmarkStart w:id="74" w:name="_Toc217446065"/>
      <w:r>
        <w:rPr>
          <w:rFonts w:hint="eastAsia" w:ascii="宋体" w:hAnsi="宋体" w:eastAsia="宋体" w:cs="宋体"/>
          <w:sz w:val="24"/>
          <w:szCs w:val="24"/>
        </w:rPr>
        <w:t>16. 签订合同</w:t>
      </w:r>
      <w:bookmarkEnd w:id="7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5"/>
        <w:snapToGrid w:val="0"/>
        <w:spacing w:before="0" w:after="0" w:line="360" w:lineRule="auto"/>
        <w:ind w:firstLine="161" w:firstLineChars="67"/>
        <w:rPr>
          <w:rFonts w:ascii="宋体" w:hAnsi="宋体" w:eastAsia="宋体" w:cs="宋体"/>
          <w:sz w:val="24"/>
          <w:szCs w:val="24"/>
        </w:rPr>
      </w:pPr>
      <w:bookmarkStart w:id="75" w:name="_Toc217446069"/>
      <w:r>
        <w:rPr>
          <w:rFonts w:hint="eastAsia" w:ascii="宋体" w:hAnsi="宋体" w:eastAsia="宋体" w:cs="宋体"/>
          <w:sz w:val="24"/>
          <w:szCs w:val="24"/>
        </w:rPr>
        <w:t>17. 履行合同</w:t>
      </w:r>
      <w:bookmarkEnd w:id="75"/>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5"/>
        <w:snapToGrid w:val="0"/>
        <w:spacing w:before="0" w:after="0" w:line="360" w:lineRule="auto"/>
        <w:ind w:firstLine="161" w:firstLineChars="67"/>
        <w:rPr>
          <w:rFonts w:ascii="宋体" w:hAnsi="宋体" w:eastAsia="宋体" w:cs="宋体"/>
          <w:sz w:val="24"/>
          <w:szCs w:val="24"/>
        </w:rPr>
      </w:pPr>
      <w:bookmarkStart w:id="76" w:name="_Toc217446070"/>
      <w:r>
        <w:rPr>
          <w:rFonts w:hint="eastAsia" w:ascii="宋体" w:hAnsi="宋体" w:eastAsia="宋体" w:cs="宋体"/>
          <w:sz w:val="24"/>
          <w:szCs w:val="24"/>
        </w:rPr>
        <w:t>18. 验收</w:t>
      </w:r>
      <w:bookmarkEnd w:id="76"/>
    </w:p>
    <w:bookmarkEnd w:id="72"/>
    <w:bookmarkEnd w:id="73"/>
    <w:p>
      <w:pPr>
        <w:tabs>
          <w:tab w:val="left" w:pos="7665"/>
        </w:tabs>
        <w:snapToGrid w:val="0"/>
        <w:spacing w:line="360" w:lineRule="auto"/>
        <w:ind w:firstLine="480" w:firstLineChars="200"/>
        <w:rPr>
          <w:rFonts w:hAnsi="宋体" w:cs="宋体"/>
          <w:sz w:val="24"/>
          <w:szCs w:val="24"/>
        </w:rPr>
      </w:pPr>
      <w:bookmarkStart w:id="77" w:name="_Toc217446071"/>
      <w:bookmarkStart w:id="78" w:name="_Toc217446074"/>
      <w:bookmarkStart w:id="79" w:name="_Toc183682380"/>
      <w:bookmarkStart w:id="80" w:name="_Toc183582243"/>
      <w:r>
        <w:rPr>
          <w:rFonts w:hint="eastAsia" w:hAnsi="宋体" w:cs="宋体"/>
          <w:sz w:val="24"/>
          <w:szCs w:val="24"/>
        </w:rPr>
        <w:t xml:space="preserve"> 中标人与采购人按照招标项目技术、商务及其他要求（参见第四章）进行验收，采购人也可依据合同自行组织验收。</w:t>
      </w:r>
    </w:p>
    <w:bookmarkEnd w:id="77"/>
    <w:p>
      <w:pPr>
        <w:pStyle w:val="5"/>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78"/>
    </w:p>
    <w:p>
      <w:pPr>
        <w:pStyle w:val="5"/>
        <w:snapToGrid w:val="0"/>
        <w:spacing w:before="0" w:after="0" w:line="360" w:lineRule="auto"/>
        <w:ind w:firstLine="161" w:firstLineChars="67"/>
        <w:rPr>
          <w:rFonts w:ascii="宋体" w:hAnsi="宋体" w:eastAsia="宋体" w:cs="宋体"/>
          <w:sz w:val="24"/>
          <w:szCs w:val="24"/>
        </w:rPr>
      </w:pPr>
      <w:bookmarkStart w:id="81" w:name="_Toc217446075"/>
      <w:r>
        <w:rPr>
          <w:rFonts w:hint="eastAsia" w:ascii="宋体" w:hAnsi="宋体" w:eastAsia="宋体" w:cs="宋体"/>
          <w:sz w:val="24"/>
          <w:szCs w:val="24"/>
        </w:rPr>
        <w:t>19. 投标人不得具有的情形</w:t>
      </w:r>
      <w:bookmarkEnd w:id="81"/>
    </w:p>
    <w:p>
      <w:pPr>
        <w:pStyle w:val="7"/>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7"/>
        <w:snapToGrid w:val="0"/>
        <w:spacing w:line="360" w:lineRule="auto"/>
        <w:ind w:firstLine="160" w:firstLineChars="67"/>
        <w:rPr>
          <w:rFonts w:hAnsi="宋体" w:cs="宋体"/>
          <w:sz w:val="24"/>
        </w:rPr>
      </w:pPr>
      <w:r>
        <w:rPr>
          <w:rFonts w:hint="eastAsia" w:hAnsi="宋体" w:cs="宋体"/>
          <w:sz w:val="24"/>
        </w:rPr>
        <w:t>（1）提供虚假材料谋取中标；</w:t>
      </w:r>
    </w:p>
    <w:p>
      <w:pPr>
        <w:pStyle w:val="7"/>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7"/>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7"/>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7"/>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7"/>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7"/>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2"/>
        <w:snapToGrid w:val="0"/>
        <w:spacing w:line="360" w:lineRule="auto"/>
        <w:ind w:left="630" w:firstLine="3162" w:firstLineChars="1050"/>
        <w:rPr>
          <w:rFonts w:hAnsi="宋体" w:cs="宋体"/>
          <w:b/>
          <w:bCs/>
          <w:sz w:val="30"/>
          <w:szCs w:val="30"/>
        </w:rPr>
      </w:pPr>
      <w:bookmarkStart w:id="82" w:name="_Toc217446078"/>
      <w:r>
        <w:rPr>
          <w:rFonts w:hint="eastAsia" w:hAnsi="宋体" w:cs="宋体"/>
          <w:b/>
          <w:bCs/>
          <w:sz w:val="30"/>
          <w:szCs w:val="30"/>
        </w:rPr>
        <w:t>七、质疑</w:t>
      </w:r>
      <w:bookmarkEnd w:id="82"/>
      <w:bookmarkStart w:id="83" w:name="_Toc217446079"/>
    </w:p>
    <w:bookmarkEnd w:id="83"/>
    <w:p>
      <w:pPr>
        <w:pStyle w:val="5"/>
        <w:snapToGrid w:val="0"/>
        <w:spacing w:before="0" w:after="0" w:line="360" w:lineRule="auto"/>
        <w:ind w:left="1375" w:leftChars="50" w:hanging="1205" w:hangingChars="500"/>
        <w:rPr>
          <w:rFonts w:ascii="宋体" w:hAnsi="宋体" w:eastAsia="宋体" w:cs="宋体"/>
          <w:sz w:val="24"/>
          <w:szCs w:val="24"/>
        </w:rPr>
      </w:pPr>
      <w:r>
        <w:rPr>
          <w:rFonts w:hint="eastAsia" w:ascii="宋体" w:hAnsi="宋体" w:eastAsia="宋体" w:cs="宋体"/>
          <w:sz w:val="24"/>
          <w:szCs w:val="24"/>
        </w:rPr>
        <w:t>20.质疑。</w:t>
      </w:r>
      <w:bookmarkEnd w:id="79"/>
      <w:bookmarkEnd w:id="80"/>
    </w:p>
    <w:p>
      <w:pPr>
        <w:pStyle w:val="7"/>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在招标投标过程中，如有任何质疑，可向四川铁道职业学院纪检监察室询问，联系电话：028-68939875。</w:t>
      </w:r>
      <w:bookmarkStart w:id="84" w:name="_Toc358883243"/>
    </w:p>
    <w:p>
      <w:pPr>
        <w:pStyle w:val="12"/>
        <w:snapToGrid w:val="0"/>
        <w:spacing w:line="360" w:lineRule="auto"/>
        <w:ind w:firstLine="480" w:firstLineChars="200"/>
        <w:rPr>
          <w:rFonts w:hAnsi="宋体" w:cs="宋体"/>
          <w:sz w:val="24"/>
        </w:rPr>
      </w:pPr>
    </w:p>
    <w:p>
      <w:pPr>
        <w:pStyle w:val="12"/>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rPr>
          <w:rFonts w:ascii="Times New Roman"/>
        </w:rPr>
      </w:pPr>
    </w:p>
    <w:p>
      <w:pPr>
        <w:pStyle w:val="4"/>
        <w:snapToGrid w:val="0"/>
        <w:spacing w:before="0" w:after="0" w:line="360" w:lineRule="auto"/>
        <w:jc w:val="center"/>
        <w:rPr>
          <w:rFonts w:hAnsi="宋体" w:cs="宋体"/>
          <w:sz w:val="30"/>
          <w:szCs w:val="30"/>
        </w:rPr>
      </w:pPr>
      <w:r>
        <w:rPr>
          <w:rFonts w:hint="eastAsia" w:hAnsi="宋体" w:cs="宋体"/>
          <w:sz w:val="30"/>
          <w:szCs w:val="30"/>
        </w:rPr>
        <w:t>第三章 投标文件格式</w:t>
      </w:r>
      <w:bookmarkEnd w:id="84"/>
    </w:p>
    <w:p>
      <w:pPr>
        <w:pStyle w:val="5"/>
        <w:snapToGrid w:val="0"/>
        <w:spacing w:before="0" w:after="0" w:line="360" w:lineRule="auto"/>
        <w:jc w:val="center"/>
        <w:rPr>
          <w:rFonts w:ascii="宋体" w:hAnsi="宋体" w:eastAsia="宋体" w:cs="宋体"/>
        </w:rPr>
      </w:pPr>
      <w:bookmarkStart w:id="85" w:name="_Toc217446082"/>
      <w:r>
        <w:rPr>
          <w:rFonts w:hint="eastAsia" w:ascii="宋体" w:hAnsi="宋体" w:eastAsia="宋体" w:cs="宋体"/>
        </w:rPr>
        <w:t>一、投 标 函</w:t>
      </w:r>
      <w:bookmarkEnd w:id="85"/>
    </w:p>
    <w:p>
      <w:pPr>
        <w:pStyle w:val="12"/>
        <w:snapToGrid w:val="0"/>
        <w:spacing w:line="348" w:lineRule="auto"/>
        <w:ind w:hanging="1"/>
        <w:jc w:val="left"/>
        <w:rPr>
          <w:rFonts w:hAnsi="宋体" w:cs="宋体"/>
          <w:bCs/>
          <w:sz w:val="24"/>
          <w:szCs w:val="24"/>
        </w:rPr>
      </w:pPr>
      <w:bookmarkStart w:id="86" w:name="_Toc217446083"/>
      <w:r>
        <w:rPr>
          <w:rFonts w:hint="eastAsia" w:hAnsi="宋体" w:cs="宋体"/>
          <w:bCs/>
          <w:sz w:val="24"/>
          <w:szCs w:val="24"/>
        </w:rPr>
        <w:t>__________________（采购人名称）：</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2"/>
        <w:numPr>
          <w:ilvl w:val="0"/>
          <w:numId w:val="5"/>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2"/>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86"/>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87" w:name="_Toc263753600"/>
      <w:bookmarkStart w:id="88" w:name="_Toc263768864"/>
      <w:bookmarkStart w:id="89" w:name="_Toc237145385"/>
      <w:bookmarkStart w:id="90" w:name="_Toc256175382"/>
      <w:bookmarkStart w:id="91" w:name="_Toc297204985"/>
      <w:bookmarkStart w:id="92" w:name="_Toc250041691"/>
      <w:bookmarkStart w:id="93" w:name="_Toc217446085"/>
    </w:p>
    <w:bookmarkEnd w:id="87"/>
    <w:bookmarkEnd w:id="88"/>
    <w:bookmarkEnd w:id="89"/>
    <w:bookmarkEnd w:id="90"/>
    <w:bookmarkEnd w:id="91"/>
    <w:bookmarkEnd w:id="92"/>
    <w:p>
      <w:pPr>
        <w:adjustRightInd w:val="0"/>
        <w:snapToGrid w:val="0"/>
        <w:spacing w:line="360" w:lineRule="auto"/>
        <w:jc w:val="left"/>
        <w:rPr>
          <w:rFonts w:hAnsi="宋体" w:cs="宋体"/>
          <w:bCs/>
          <w:spacing w:val="8"/>
          <w:sz w:val="24"/>
          <w:szCs w:val="24"/>
        </w:rPr>
        <w:sectPr>
          <w:footerReference r:id="rId5" w:type="default"/>
          <w:pgSz w:w="11907" w:h="16840"/>
          <w:pgMar w:top="1440" w:right="1080" w:bottom="1440" w:left="1080" w:header="851" w:footer="992" w:gutter="0"/>
          <w:cols w:space="720" w:num="1"/>
          <w:docGrid w:type="lines" w:linePitch="312" w:charSpace="0"/>
        </w:sectPr>
      </w:pPr>
    </w:p>
    <w:bookmarkEnd w:id="93"/>
    <w:p>
      <w:pPr>
        <w:pStyle w:val="5"/>
        <w:keepNext w:val="0"/>
        <w:keepLines w:val="0"/>
        <w:snapToGrid w:val="0"/>
        <w:spacing w:before="0" w:after="0"/>
        <w:jc w:val="center"/>
        <w:rPr>
          <w:rFonts w:ascii="仿宋_GB2312" w:eastAsia="仿宋_GB2312"/>
        </w:rPr>
      </w:pPr>
      <w:bookmarkStart w:id="94" w:name="_Toc123786888"/>
      <w:bookmarkStart w:id="95" w:name="_Toc315963014"/>
      <w:r>
        <w:rPr>
          <w:rFonts w:hint="eastAsia" w:ascii="宋体" w:hAnsi="宋体" w:eastAsia="宋体" w:cs="宋体"/>
        </w:rPr>
        <w:t>三、投标</w:t>
      </w:r>
      <w:bookmarkEnd w:id="94"/>
      <w:r>
        <w:rPr>
          <w:rFonts w:hint="eastAsia" w:ascii="宋体" w:hAnsi="宋体" w:eastAsia="宋体" w:cs="宋体"/>
        </w:rPr>
        <w:t>报价表</w:t>
      </w: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840"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840"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ascii="仿宋_GB2312" w:eastAsia="仿宋_GB2312"/>
              </w:rPr>
            </w:pPr>
            <w:r>
              <w:rPr>
                <w:rFonts w:hint="eastAsia" w:ascii="仿宋_GB2312" w:hAnsi="宋体" w:eastAsia="仿宋_GB2312"/>
              </w:rPr>
              <w:t>供货周期</w:t>
            </w:r>
          </w:p>
        </w:tc>
        <w:tc>
          <w:tcPr>
            <w:tcW w:w="6840" w:type="dxa"/>
            <w:vAlign w:val="center"/>
          </w:tcPr>
          <w:p>
            <w:pPr>
              <w:adjustRightInd w:val="0"/>
              <w:snapToGrid w:val="0"/>
              <w:spacing w:line="360" w:lineRule="auto"/>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840" w:type="dxa"/>
            <w:vAlign w:val="center"/>
          </w:tcPr>
          <w:p>
            <w:pPr>
              <w:adjustRightInd w:val="0"/>
              <w:snapToGrid w:val="0"/>
              <w:spacing w:line="360" w:lineRule="auto"/>
              <w:jc w:val="center"/>
              <w:rPr>
                <w:rFonts w:ascii="仿宋_GB2312" w:hAnsi="宋体" w:eastAsia="仿宋_GB2312"/>
                <w:u w:val="single"/>
              </w:rPr>
            </w:pP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四、分项报价明细表</w:t>
      </w:r>
      <w:bookmarkEnd w:id="95"/>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1283"/>
        <w:gridCol w:w="983"/>
        <w:gridCol w:w="788"/>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379" w:type="dxa"/>
            <w:vAlign w:val="center"/>
          </w:tcPr>
          <w:p>
            <w:pPr>
              <w:snapToGrid w:val="0"/>
              <w:spacing w:line="360" w:lineRule="auto"/>
              <w:jc w:val="center"/>
              <w:rPr>
                <w:rFonts w:hAnsi="宋体" w:cs="宋体"/>
                <w:sz w:val="24"/>
                <w:szCs w:val="24"/>
              </w:rPr>
            </w:pPr>
            <w:r>
              <w:rPr>
                <w:rFonts w:hint="eastAsia" w:hAnsi="宋体" w:cs="宋体"/>
                <w:sz w:val="24"/>
                <w:szCs w:val="24"/>
              </w:rPr>
              <w:t>产品名称</w:t>
            </w:r>
          </w:p>
        </w:tc>
        <w:tc>
          <w:tcPr>
            <w:tcW w:w="1283" w:type="dxa"/>
            <w:vAlign w:val="center"/>
          </w:tcPr>
          <w:p>
            <w:pPr>
              <w:snapToGrid w:val="0"/>
              <w:spacing w:line="360" w:lineRule="auto"/>
              <w:jc w:val="center"/>
              <w:rPr>
                <w:rFonts w:hAnsi="宋体" w:cs="宋体"/>
                <w:sz w:val="24"/>
                <w:szCs w:val="24"/>
              </w:rPr>
            </w:pPr>
            <w:r>
              <w:rPr>
                <w:rFonts w:hint="eastAsia" w:hAnsi="宋体" w:cs="宋体"/>
                <w:sz w:val="24"/>
                <w:szCs w:val="24"/>
              </w:rPr>
              <w:t>规格型号</w:t>
            </w:r>
          </w:p>
        </w:tc>
        <w:tc>
          <w:tcPr>
            <w:tcW w:w="983" w:type="dxa"/>
            <w:vAlign w:val="center"/>
          </w:tcPr>
          <w:p>
            <w:pPr>
              <w:snapToGrid w:val="0"/>
              <w:spacing w:line="360" w:lineRule="auto"/>
              <w:jc w:val="center"/>
              <w:rPr>
                <w:rFonts w:hAnsi="宋体" w:cs="宋体"/>
                <w:sz w:val="24"/>
                <w:szCs w:val="24"/>
              </w:rPr>
            </w:pPr>
            <w:r>
              <w:rPr>
                <w:rFonts w:hint="eastAsia" w:hAnsi="宋体" w:cs="宋体"/>
                <w:sz w:val="24"/>
                <w:szCs w:val="24"/>
              </w:rPr>
              <w:t>品牌</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789"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6"/>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adjustRightInd w:val="0"/>
        <w:snapToGrid w:val="0"/>
        <w:spacing w:line="360" w:lineRule="auto"/>
        <w:ind w:firstLine="480" w:firstLineChars="200"/>
        <w:jc w:val="left"/>
        <w:rPr>
          <w:rFonts w:hAnsi="宋体" w:cs="宋体"/>
          <w:sz w:val="24"/>
          <w:szCs w:val="24"/>
        </w:rPr>
        <w:sectPr>
          <w:footerReference r:id="rId6" w:type="default"/>
          <w:type w:val="nextColumn"/>
          <w:pgSz w:w="11907" w:h="16840"/>
          <w:pgMar w:top="1440" w:right="1474" w:bottom="1440" w:left="1474" w:header="851" w:footer="992" w:gutter="0"/>
          <w:cols w:space="720" w:num="1"/>
          <w:docGrid w:type="lines" w:linePitch="312" w:charSpace="0"/>
        </w:sectPr>
      </w:pPr>
    </w:p>
    <w:p>
      <w:pPr>
        <w:pStyle w:val="5"/>
        <w:snapToGrid w:val="0"/>
        <w:spacing w:before="0" w:after="0" w:line="360" w:lineRule="auto"/>
        <w:jc w:val="center"/>
        <w:rPr>
          <w:rFonts w:ascii="宋体" w:hAnsi="宋体" w:eastAsia="宋体" w:cs="宋体"/>
        </w:rPr>
      </w:pPr>
      <w:bookmarkStart w:id="96" w:name="_Toc217446087"/>
    </w:p>
    <w:p>
      <w:pPr>
        <w:pStyle w:val="5"/>
        <w:snapToGrid w:val="0"/>
        <w:spacing w:before="0" w:after="0" w:line="360" w:lineRule="auto"/>
        <w:jc w:val="center"/>
        <w:rPr>
          <w:rFonts w:ascii="宋体" w:hAnsi="宋体" w:eastAsia="宋体" w:cs="宋体"/>
        </w:rPr>
      </w:pPr>
      <w:r>
        <w:rPr>
          <w:rFonts w:hint="eastAsia" w:ascii="宋体" w:hAnsi="宋体" w:eastAsia="宋体" w:cs="宋体"/>
        </w:rPr>
        <w:t>五、商务应答表</w:t>
      </w:r>
      <w:bookmarkEnd w:id="96"/>
    </w:p>
    <w:p>
      <w:pPr>
        <w:pStyle w:val="15"/>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3079"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六、投标人近三年类似项目业绩一览表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78"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108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widowControl/>
        <w:jc w:val="left"/>
        <w:rPr>
          <w:rFonts w:hAnsi="宋体" w:cs="宋体"/>
        </w:rPr>
      </w:pPr>
      <w:r>
        <w:rPr>
          <w:rFonts w:hint="eastAsia" w:hAnsi="宋体" w:cs="宋体"/>
        </w:rPr>
        <w:t>七、投标人认为有必要补充说明的相关信息</w:t>
      </w:r>
    </w:p>
    <w:p>
      <w:pPr>
        <w:adjustRightInd w:val="0"/>
        <w:snapToGrid w:val="0"/>
        <w:spacing w:line="360" w:lineRule="auto"/>
        <w:jc w:val="left"/>
        <w:rPr>
          <w:rFonts w:hAnsi="宋体" w:cs="宋体"/>
          <w:bCs/>
          <w:spacing w:val="8"/>
          <w:sz w:val="24"/>
          <w:szCs w:val="24"/>
        </w:rPr>
        <w:sectPr>
          <w:pgSz w:w="11906" w:h="16838"/>
          <w:pgMar w:top="1083" w:right="1440" w:bottom="1083" w:left="1440" w:header="851" w:footer="992" w:gutter="0"/>
          <w:cols w:space="720" w:num="1"/>
          <w:docGrid w:type="lines" w:linePitch="473" w:charSpace="0"/>
        </w:sectPr>
      </w:pPr>
    </w:p>
    <w:p>
      <w:pPr>
        <w:pStyle w:val="4"/>
        <w:snapToGrid w:val="0"/>
        <w:spacing w:before="0" w:after="0" w:line="240" w:lineRule="auto"/>
        <w:ind w:firstLine="2891" w:firstLineChars="900"/>
        <w:rPr>
          <w:rFonts w:hAnsi="宋体"/>
          <w:sz w:val="32"/>
          <w:szCs w:val="32"/>
        </w:rPr>
      </w:pPr>
    </w:p>
    <w:p>
      <w:pPr>
        <w:pStyle w:val="9"/>
        <w:ind w:firstLine="1360" w:firstLineChars="400"/>
      </w:pPr>
      <w:r>
        <w:rPr>
          <w:rFonts w:hint="eastAsia"/>
        </w:rPr>
        <w:t xml:space="preserve">第四章   招标项目技术、商务及其他要求 </w:t>
      </w:r>
    </w:p>
    <w:p>
      <w:pPr>
        <w:ind w:firstLine="280" w:firstLineChars="100"/>
        <w:rPr>
          <w:rFonts w:cs="宋体"/>
          <w:sz w:val="24"/>
          <w:szCs w:val="24"/>
        </w:rPr>
      </w:pPr>
      <w:r>
        <w:rPr>
          <w:rFonts w:hint="eastAsia" w:hAnsi="宋体"/>
          <w:bCs/>
          <w:sz w:val="28"/>
          <w:szCs w:val="28"/>
        </w:rPr>
        <w:t xml:space="preserve">  一、项目概况</w:t>
      </w:r>
    </w:p>
    <w:p>
      <w:pPr>
        <w:autoSpaceDE w:val="0"/>
        <w:autoSpaceDN w:val="0"/>
        <w:ind w:firstLine="480" w:firstLineChars="200"/>
        <w:rPr>
          <w:rFonts w:cs="宋体"/>
          <w:sz w:val="24"/>
          <w:szCs w:val="24"/>
        </w:rPr>
      </w:pPr>
      <w:r>
        <w:rPr>
          <w:rFonts w:hint="eastAsia" w:cs="宋体"/>
          <w:sz w:val="24"/>
          <w:szCs w:val="24"/>
        </w:rPr>
        <w:t>四川铁道职业学院庆祝建校70周年庆典大会、主题晚会舞美制作，包括：庆典大会会场主席台底座搭建、现场氛围营造、晚会舞美效果图设计、LED显示屏搭建、灯光、音响、话筒、视频、摄影、摄像、直播及其它舞美服务，同时提供与活动相关的现场设备安装与执行工作，确保庆典大会、主题晚会整体效果。11月10日18:00前完成搭建并确保到采购人认同拆除时间内各项功能正常使用，并负责搭建、使用及拆除过程中的人员和设备安全，且承担全部责任。活动包括：庆典彩排1场、演出彩排1场、庆典大会1场、正式演出1场。</w:t>
      </w:r>
    </w:p>
    <w:p>
      <w:pPr>
        <w:pStyle w:val="9"/>
        <w:ind w:firstLine="280" w:firstLineChars="100"/>
        <w:rPr>
          <w:rFonts w:hAnsi="宋体"/>
          <w:bCs/>
          <w:sz w:val="28"/>
          <w:szCs w:val="28"/>
        </w:rPr>
      </w:pPr>
      <w:r>
        <w:rPr>
          <w:rFonts w:hint="eastAsia" w:hAnsi="宋体"/>
          <w:bCs/>
          <w:sz w:val="28"/>
          <w:szCs w:val="28"/>
        </w:rPr>
        <w:t>二、设施设备及服务要求</w:t>
      </w:r>
    </w:p>
    <w:tbl>
      <w:tblPr>
        <w:tblStyle w:val="23"/>
        <w:tblW w:w="9462" w:type="dxa"/>
        <w:tblInd w:w="93" w:type="dxa"/>
        <w:tblLayout w:type="fixed"/>
        <w:tblCellMar>
          <w:top w:w="0" w:type="dxa"/>
          <w:left w:w="108" w:type="dxa"/>
          <w:bottom w:w="0" w:type="dxa"/>
          <w:right w:w="108" w:type="dxa"/>
        </w:tblCellMar>
      </w:tblPr>
      <w:tblGrid>
        <w:gridCol w:w="508"/>
        <w:gridCol w:w="1634"/>
        <w:gridCol w:w="444"/>
        <w:gridCol w:w="1060"/>
        <w:gridCol w:w="197"/>
        <w:gridCol w:w="1701"/>
        <w:gridCol w:w="155"/>
        <w:gridCol w:w="837"/>
        <w:gridCol w:w="42"/>
        <w:gridCol w:w="1092"/>
        <w:gridCol w:w="163"/>
        <w:gridCol w:w="404"/>
        <w:gridCol w:w="142"/>
        <w:gridCol w:w="150"/>
        <w:gridCol w:w="933"/>
      </w:tblGrid>
      <w:tr>
        <w:tblPrEx>
          <w:tblCellMar>
            <w:top w:w="0" w:type="dxa"/>
            <w:left w:w="108" w:type="dxa"/>
            <w:bottom w:w="0" w:type="dxa"/>
            <w:right w:w="108" w:type="dxa"/>
          </w:tblCellMar>
        </w:tblPrEx>
        <w:trPr>
          <w:trHeight w:val="420" w:hRule="atLeast"/>
        </w:trPr>
        <w:tc>
          <w:tcPr>
            <w:tcW w:w="9462" w:type="dxa"/>
            <w:gridSpan w:val="1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4"/>
                <w:szCs w:val="24"/>
              </w:rPr>
            </w:pPr>
            <w:r>
              <w:rPr>
                <w:rFonts w:hint="eastAsia" w:cs="宋体"/>
                <w:sz w:val="24"/>
                <w:szCs w:val="24"/>
              </w:rPr>
              <w:t>庆祝建校70周年庆典大会、主题晚会舞美制作采购项目清单</w:t>
            </w: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序号</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名称</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品牌</w:t>
            </w: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规格</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数量</w:t>
            </w:r>
          </w:p>
        </w:tc>
        <w:tc>
          <w:tcPr>
            <w:tcW w:w="12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单位</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单价</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总价</w:t>
            </w:r>
          </w:p>
        </w:tc>
      </w:tr>
      <w:tr>
        <w:tblPrEx>
          <w:tblCellMar>
            <w:top w:w="0" w:type="dxa"/>
            <w:left w:w="108" w:type="dxa"/>
            <w:bottom w:w="0" w:type="dxa"/>
            <w:right w:w="108" w:type="dxa"/>
          </w:tblCellMar>
        </w:tblPrEx>
        <w:trPr>
          <w:trHeight w:val="345" w:hRule="atLeast"/>
        </w:trPr>
        <w:tc>
          <w:tcPr>
            <w:tcW w:w="9462" w:type="dxa"/>
            <w:gridSpan w:val="1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音响系统</w:t>
            </w: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线阵音箱</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双十寸主扩</w:t>
            </w:r>
          </w:p>
        </w:tc>
        <w:tc>
          <w:tcPr>
            <w:tcW w:w="879" w:type="dxa"/>
            <w:gridSpan w:val="2"/>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2"/>
                <w:szCs w:val="22"/>
              </w:rPr>
            </w:pPr>
            <w:r>
              <w:rPr>
                <w:rFonts w:hint="eastAsia" w:ascii="华文细黑" w:hAnsi="华文细黑" w:eastAsia="华文细黑" w:cs="华文细黑"/>
                <w:color w:val="000000"/>
                <w:sz w:val="22"/>
                <w:szCs w:val="22"/>
              </w:rPr>
              <w:t>8</w:t>
            </w:r>
          </w:p>
        </w:tc>
        <w:tc>
          <w:tcPr>
            <w:tcW w:w="1255"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只</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auto"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线阵低频音箱</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双十五寸低音</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2"/>
                <w:szCs w:val="22"/>
              </w:rPr>
            </w:pPr>
            <w:r>
              <w:rPr>
                <w:rFonts w:hint="eastAsia" w:ascii="华文细黑" w:hAnsi="华文细黑" w:eastAsia="华文细黑" w:cs="华文细黑"/>
                <w:color w:val="000000"/>
                <w:sz w:val="22"/>
                <w:szCs w:val="22"/>
              </w:rPr>
              <w:t>4</w:t>
            </w:r>
          </w:p>
        </w:tc>
        <w:tc>
          <w:tcPr>
            <w:tcW w:w="1255"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只</w:t>
            </w:r>
          </w:p>
        </w:tc>
        <w:tc>
          <w:tcPr>
            <w:tcW w:w="696"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auto" w:sz="4" w:space="0"/>
              <w:left w:val="single" w:color="000000" w:sz="4" w:space="0"/>
              <w:bottom w:val="single" w:color="auto"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舞台返听音箱</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单十五寸同轴</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w:t>
            </w:r>
          </w:p>
        </w:tc>
        <w:tc>
          <w:tcPr>
            <w:tcW w:w="1255" w:type="dxa"/>
            <w:gridSpan w:val="2"/>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台</w:t>
            </w:r>
          </w:p>
        </w:tc>
        <w:tc>
          <w:tcPr>
            <w:tcW w:w="696"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auto" w:sz="4" w:space="0"/>
              <w:left w:val="single" w:color="000000" w:sz="4" w:space="0"/>
              <w:bottom w:val="single" w:color="auto"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座式话筒</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6</w:t>
            </w:r>
          </w:p>
        </w:tc>
        <w:tc>
          <w:tcPr>
            <w:tcW w:w="1255" w:type="dxa"/>
            <w:gridSpan w:val="2"/>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696"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auto" w:sz="4" w:space="0"/>
              <w:left w:val="single" w:color="000000" w:sz="4" w:space="0"/>
              <w:bottom w:val="single" w:color="auto"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5</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手持话筒</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G4</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w:t>
            </w:r>
          </w:p>
        </w:tc>
        <w:tc>
          <w:tcPr>
            <w:tcW w:w="1255" w:type="dxa"/>
            <w:gridSpan w:val="2"/>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对</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auto" w:sz="4" w:space="0"/>
              <w:left w:val="single" w:color="000000" w:sz="4" w:space="0"/>
              <w:bottom w:val="single" w:color="auto"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6</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领夹无线话筒</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ACT52</w:t>
            </w:r>
          </w:p>
        </w:tc>
        <w:tc>
          <w:tcPr>
            <w:tcW w:w="879" w:type="dxa"/>
            <w:gridSpan w:val="2"/>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12</w:t>
            </w:r>
          </w:p>
        </w:tc>
        <w:tc>
          <w:tcPr>
            <w:tcW w:w="1255" w:type="dxa"/>
            <w:gridSpan w:val="2"/>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对</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auto" w:sz="4" w:space="0"/>
              <w:left w:val="single" w:color="000000" w:sz="4" w:space="0"/>
              <w:bottom w:val="single" w:color="auto"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7</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调音台</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M32</w:t>
            </w:r>
          </w:p>
        </w:tc>
        <w:tc>
          <w:tcPr>
            <w:tcW w:w="879" w:type="dxa"/>
            <w:gridSpan w:val="2"/>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w:t>
            </w:r>
          </w:p>
        </w:tc>
        <w:tc>
          <w:tcPr>
            <w:tcW w:w="1255"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台</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auto" w:sz="4" w:space="0"/>
              <w:left w:val="single" w:color="000000" w:sz="4" w:space="0"/>
              <w:bottom w:val="single" w:color="auto"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8</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电容合唱拾音话筒</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KSM32</w:t>
            </w:r>
          </w:p>
        </w:tc>
        <w:tc>
          <w:tcPr>
            <w:tcW w:w="879" w:type="dxa"/>
            <w:gridSpan w:val="2"/>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w:t>
            </w:r>
          </w:p>
        </w:tc>
        <w:tc>
          <w:tcPr>
            <w:tcW w:w="1255" w:type="dxa"/>
            <w:gridSpan w:val="2"/>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只</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auto"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8529" w:type="dxa"/>
            <w:gridSpan w:val="1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小计</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￥0.00</w:t>
            </w:r>
          </w:p>
        </w:tc>
      </w:tr>
      <w:tr>
        <w:tblPrEx>
          <w:tblCellMar>
            <w:top w:w="0" w:type="dxa"/>
            <w:left w:w="108" w:type="dxa"/>
            <w:bottom w:w="0" w:type="dxa"/>
            <w:right w:w="108" w:type="dxa"/>
          </w:tblCellMar>
        </w:tblPrEx>
        <w:trPr>
          <w:trHeight w:val="345" w:hRule="atLeast"/>
        </w:trPr>
        <w:tc>
          <w:tcPr>
            <w:tcW w:w="9462" w:type="dxa"/>
            <w:gridSpan w:val="1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灯光系统</w:t>
            </w: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灯控台</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Y2</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w:t>
            </w:r>
          </w:p>
        </w:tc>
        <w:tc>
          <w:tcPr>
            <w:tcW w:w="12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台</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LED 防水Par灯</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18X15W</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40</w:t>
            </w:r>
          </w:p>
        </w:tc>
        <w:tc>
          <w:tcPr>
            <w:tcW w:w="12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只</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电脑光束灯</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440W</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38</w:t>
            </w:r>
          </w:p>
        </w:tc>
        <w:tc>
          <w:tcPr>
            <w:tcW w:w="12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台</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面光灯</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200W</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16</w:t>
            </w:r>
          </w:p>
        </w:tc>
        <w:tc>
          <w:tcPr>
            <w:tcW w:w="12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台</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5</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切割灯</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1000W</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8</w:t>
            </w:r>
          </w:p>
        </w:tc>
        <w:tc>
          <w:tcPr>
            <w:tcW w:w="12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盏</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6</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薄雾机</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3000W</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12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个</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7</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洗墙灯</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18颗</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16</w:t>
            </w:r>
          </w:p>
        </w:tc>
        <w:tc>
          <w:tcPr>
            <w:tcW w:w="12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条</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8</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水雾机</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3000W</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12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台</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9</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运费</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成都--安德</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趟</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8529" w:type="dxa"/>
            <w:gridSpan w:val="1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小计</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b/>
                <w:bCs/>
                <w:color w:val="000000"/>
                <w:sz w:val="20"/>
              </w:rPr>
            </w:pPr>
          </w:p>
        </w:tc>
      </w:tr>
      <w:tr>
        <w:tblPrEx>
          <w:tblCellMar>
            <w:top w:w="0" w:type="dxa"/>
            <w:left w:w="108" w:type="dxa"/>
            <w:bottom w:w="0" w:type="dxa"/>
            <w:right w:w="108" w:type="dxa"/>
          </w:tblCellMar>
        </w:tblPrEx>
        <w:trPr>
          <w:trHeight w:val="345" w:hRule="atLeast"/>
        </w:trPr>
        <w:tc>
          <w:tcPr>
            <w:tcW w:w="9462" w:type="dxa"/>
            <w:gridSpan w:val="1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LED视屏系统</w:t>
            </w: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P3高清LED主屏</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10*5M</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50</w:t>
            </w:r>
          </w:p>
        </w:tc>
        <w:tc>
          <w:tcPr>
            <w:tcW w:w="125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w:t>
            </w:r>
          </w:p>
        </w:tc>
        <w:tc>
          <w:tcPr>
            <w:tcW w:w="69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P3高清LED副屏</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2*5M  4块</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40</w:t>
            </w:r>
          </w:p>
        </w:tc>
        <w:tc>
          <w:tcPr>
            <w:tcW w:w="125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w:t>
            </w:r>
          </w:p>
        </w:tc>
        <w:tc>
          <w:tcPr>
            <w:tcW w:w="69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P3高清LED台口屏</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16X1M</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16</w:t>
            </w:r>
          </w:p>
        </w:tc>
        <w:tc>
          <w:tcPr>
            <w:tcW w:w="125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w:t>
            </w:r>
          </w:p>
        </w:tc>
        <w:tc>
          <w:tcPr>
            <w:tcW w:w="69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视频处理器</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K4S</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6</w:t>
            </w:r>
          </w:p>
        </w:tc>
        <w:tc>
          <w:tcPr>
            <w:tcW w:w="125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台</w:t>
            </w:r>
          </w:p>
        </w:tc>
        <w:tc>
          <w:tcPr>
            <w:tcW w:w="69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5</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视频服务器</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S3</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w:t>
            </w:r>
          </w:p>
        </w:tc>
        <w:tc>
          <w:tcPr>
            <w:tcW w:w="125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台</w:t>
            </w:r>
          </w:p>
        </w:tc>
        <w:tc>
          <w:tcPr>
            <w:tcW w:w="69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6</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运费</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成都--安德</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125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趟</w:t>
            </w:r>
          </w:p>
        </w:tc>
        <w:tc>
          <w:tcPr>
            <w:tcW w:w="69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8529" w:type="dxa"/>
            <w:gridSpan w:val="1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小计</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b/>
                <w:bCs/>
                <w:color w:val="000000"/>
                <w:sz w:val="20"/>
              </w:rPr>
            </w:pPr>
          </w:p>
        </w:tc>
      </w:tr>
      <w:tr>
        <w:tblPrEx>
          <w:tblCellMar>
            <w:top w:w="0" w:type="dxa"/>
            <w:left w:w="108" w:type="dxa"/>
            <w:bottom w:w="0" w:type="dxa"/>
            <w:right w:w="108" w:type="dxa"/>
          </w:tblCellMar>
        </w:tblPrEx>
        <w:trPr>
          <w:trHeight w:val="345" w:hRule="atLeast"/>
        </w:trPr>
        <w:tc>
          <w:tcPr>
            <w:tcW w:w="9462" w:type="dxa"/>
            <w:gridSpan w:val="15"/>
            <w:tcBorders>
              <w:top w:val="single" w:color="000000" w:sz="4" w:space="0"/>
              <w:left w:val="single" w:color="000000" w:sz="4" w:space="0"/>
              <w:bottom w:val="nil"/>
              <w:right w:val="single" w:color="000000" w:sz="4" w:space="0"/>
            </w:tcBorders>
            <w:noWrap/>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 xml:space="preserve">舞台   架子 </w:t>
            </w:r>
            <w:r>
              <w:rPr>
                <w:rFonts w:ascii="华文细黑" w:hAnsi="华文细黑" w:eastAsia="华文细黑" w:cs="华文细黑"/>
                <w:b/>
                <w:bCs/>
                <w:color w:val="000000"/>
                <w:sz w:val="20"/>
              </w:rPr>
              <w:t xml:space="preserve"> </w:t>
            </w:r>
            <w:r>
              <w:rPr>
                <w:rFonts w:hint="eastAsia" w:ascii="华文细黑" w:hAnsi="华文细黑" w:eastAsia="华文细黑" w:cs="华文细黑"/>
                <w:b/>
                <w:bCs/>
                <w:color w:val="000000"/>
                <w:sz w:val="20"/>
              </w:rPr>
              <w:t>氛围营造</w:t>
            </w: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1</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ascii="华文细黑" w:hAnsi="华文细黑" w:eastAsia="华文细黑" w:cs="华文细黑"/>
                <w:color w:val="000000" w:themeColor="text1"/>
                <w:sz w:val="20"/>
                <w14:textFill>
                  <w14:solidFill>
                    <w14:schemeClr w14:val="tx1"/>
                  </w14:solidFill>
                </w14:textFill>
              </w:rPr>
              <w:t>会标</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1</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ascii="华文细黑" w:hAnsi="华文细黑" w:eastAsia="华文细黑" w:cs="华文细黑"/>
                <w:color w:val="000000" w:themeColor="text1"/>
                <w:sz w:val="20"/>
                <w14:textFill>
                  <w14:solidFill>
                    <w14:schemeClr w14:val="tx1"/>
                  </w14:solidFill>
                </w14:textFill>
              </w:rPr>
              <w:t>幅</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2</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学校logo</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定制</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1</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个</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3</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7</w:t>
            </w:r>
            <w:r>
              <w:rPr>
                <w:rFonts w:ascii="华文细黑" w:hAnsi="华文细黑" w:eastAsia="华文细黑" w:cs="华文细黑"/>
                <w:color w:val="000000" w:themeColor="text1"/>
                <w:sz w:val="20"/>
                <w14:textFill>
                  <w14:solidFill>
                    <w14:schemeClr w14:val="tx1"/>
                  </w14:solidFill>
                </w14:textFill>
              </w:rPr>
              <w:t>0</w:t>
            </w:r>
            <w:r>
              <w:rPr>
                <w:rFonts w:hint="eastAsia" w:ascii="华文细黑" w:hAnsi="华文细黑" w:eastAsia="华文细黑" w:cs="华文细黑"/>
                <w:color w:val="000000" w:themeColor="text1"/>
                <w:sz w:val="20"/>
                <w14:textFill>
                  <w14:solidFill>
                    <w14:schemeClr w14:val="tx1"/>
                  </w14:solidFill>
                </w14:textFill>
              </w:rPr>
              <w:t>周年校庆logo</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定制</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ascii="华文细黑" w:hAnsi="华文细黑" w:eastAsia="华文细黑" w:cs="华文细黑"/>
                <w:color w:val="000000" w:themeColor="text1"/>
                <w:sz w:val="20"/>
                <w14:textFill>
                  <w14:solidFill>
                    <w14:schemeClr w14:val="tx1"/>
                  </w14:solidFill>
                </w14:textFill>
              </w:rPr>
              <w:t>1</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个</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4</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氛围营造横幅</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定制</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5</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幅</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5</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truss铝架（门型架）</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定制</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16X6M   4套</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112</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米</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highlight w:val="yellow"/>
                <w14:textFill>
                  <w14:solidFill>
                    <w14:schemeClr w14:val="tx1"/>
                  </w14:solidFill>
                </w14:textFill>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themeColor="text1"/>
                <w:sz w:val="20"/>
                <w:highlight w:val="yellow"/>
                <w14:textFill>
                  <w14:solidFill>
                    <w14:schemeClr w14:val="tx1"/>
                  </w14:solidFill>
                </w14:textFill>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6</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truss铝架（面光架）</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定制</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10X3M</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16</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米</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highlight w:val="yellow"/>
                <w14:textFill>
                  <w14:solidFill>
                    <w14:schemeClr w14:val="tx1"/>
                  </w14:solidFill>
                </w14:textFill>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themeColor="text1"/>
                <w:sz w:val="20"/>
                <w:highlight w:val="yellow"/>
                <w14:textFill>
                  <w14:solidFill>
                    <w14:schemeClr w14:val="tx1"/>
                  </w14:solidFill>
                </w14:textFill>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7</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雷亚架（屏幕背架）</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定制</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14X6X2M</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168</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立方</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8</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雷亚架（屏幕背架）</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定制</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4.5X2X2M   4套</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72</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立方</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9</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雷亚架舞台(垫主屏)</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定制</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10.98X1.22X0.4M</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13</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平方</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112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10</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雷亚架舞台（会议）</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定制</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9.60X1.22X0.2M</w:t>
            </w:r>
          </w:p>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10.40X1.22X0.4M 11.20X1.22X0.6M 12.00X1.22X0.8M</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28</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平方</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74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11</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 xml:space="preserve">底座地毯(红色)                                 </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定制</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 xml:space="preserve"> 12X6M（会议舞台）                        </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100</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themeColor="text1"/>
                <w:sz w:val="20"/>
                <w14:textFill>
                  <w14:solidFill>
                    <w14:schemeClr w14:val="tx1"/>
                  </w14:solidFill>
                </w14:textFill>
              </w:rPr>
            </w:pPr>
            <w:r>
              <w:rPr>
                <w:rFonts w:hint="eastAsia" w:ascii="华文细黑" w:hAnsi="华文细黑" w:eastAsia="华文细黑" w:cs="华文细黑"/>
                <w:color w:val="000000" w:themeColor="text1"/>
                <w:sz w:val="20"/>
                <w14:textFill>
                  <w14:solidFill>
                    <w14:schemeClr w14:val="tx1"/>
                  </w14:solidFill>
                </w14:textFill>
              </w:rPr>
              <w:t>平方</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themeColor="text1"/>
                <w:sz w:val="20"/>
                <w14:textFill>
                  <w14:solidFill>
                    <w14:schemeClr w14:val="tx1"/>
                  </w14:solidFill>
                </w14:textFill>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12</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运费</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趟</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8379"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小计</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华文细黑" w:hAnsi="华文细黑" w:eastAsia="华文细黑" w:cs="华文细黑"/>
                <w:b/>
                <w:bCs/>
                <w:color w:val="000000"/>
                <w:sz w:val="20"/>
              </w:rPr>
            </w:pPr>
          </w:p>
        </w:tc>
      </w:tr>
      <w:tr>
        <w:tblPrEx>
          <w:tblCellMar>
            <w:top w:w="0" w:type="dxa"/>
            <w:left w:w="108" w:type="dxa"/>
            <w:bottom w:w="0" w:type="dxa"/>
            <w:right w:w="108" w:type="dxa"/>
          </w:tblCellMar>
        </w:tblPrEx>
        <w:trPr>
          <w:trHeight w:val="345" w:hRule="atLeast"/>
        </w:trPr>
        <w:tc>
          <w:tcPr>
            <w:tcW w:w="9462" w:type="dxa"/>
            <w:gridSpan w:val="15"/>
            <w:tcBorders>
              <w:top w:val="nil"/>
              <w:left w:val="single" w:color="000000" w:sz="4" w:space="0"/>
              <w:bottom w:val="nil"/>
              <w:right w:val="single" w:color="000000" w:sz="4" w:space="0"/>
            </w:tcBorders>
            <w:shd w:val="clear" w:color="auto" w:fill="FFFFFF"/>
            <w:vAlign w:val="center"/>
          </w:tcPr>
          <w:p>
            <w:pPr>
              <w:widowControl/>
              <w:jc w:val="center"/>
              <w:textAlignment w:val="center"/>
              <w:rPr>
                <w:rFonts w:ascii="华文细黑" w:hAnsi="华文细黑" w:eastAsia="华文细黑" w:cs="华文细黑"/>
                <w:b/>
                <w:bCs/>
                <w:color w:val="000000"/>
                <w:sz w:val="20"/>
              </w:rPr>
            </w:pPr>
            <w:r>
              <w:rPr>
                <w:rFonts w:ascii="华文细黑" w:hAnsi="华文细黑" w:eastAsia="华文细黑" w:cs="华文细黑"/>
                <w:b/>
                <w:bCs/>
                <w:color w:val="000000"/>
                <w:sz w:val="20"/>
              </w:rPr>
              <w:t>其他服务项目</w:t>
            </w: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w:t>
            </w:r>
          </w:p>
        </w:tc>
        <w:tc>
          <w:tcPr>
            <w:tcW w:w="1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b/>
                <w:bCs/>
                <w:color w:val="000000"/>
                <w:sz w:val="20"/>
              </w:rPr>
              <w:t>会议桌布</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定制</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墨绿色</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ascii="华文细黑" w:hAnsi="华文细黑" w:eastAsia="华文细黑" w:cs="华文细黑"/>
                <w:color w:val="000000"/>
                <w:sz w:val="20"/>
              </w:rPr>
              <w:t>40</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条</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1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现场网络直播</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3个及以上</w:t>
            </w:r>
          </w:p>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机位</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3场，各10000人</w:t>
            </w: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w:t>
            </w:r>
          </w:p>
        </w:tc>
        <w:tc>
          <w:tcPr>
            <w:tcW w:w="1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揭牌（水晶球）</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w:t>
            </w:r>
          </w:p>
        </w:tc>
        <w:tc>
          <w:tcPr>
            <w:tcW w:w="1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授牌（牌匾）</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定制铜牌</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50</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r>
              <w:rPr>
                <w:rFonts w:ascii="华文细黑" w:hAnsi="华文细黑" w:eastAsia="华文细黑" w:cs="华文细黑"/>
                <w:color w:val="000000"/>
                <w:sz w:val="20"/>
              </w:rPr>
              <w:t>块</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w:t>
            </w:r>
          </w:p>
        </w:tc>
        <w:tc>
          <w:tcPr>
            <w:tcW w:w="1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运费</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微货</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成都--安德</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趟</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8237" w:type="dxa"/>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小计</w:t>
            </w: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华文细黑" w:hAnsi="华文细黑" w:eastAsia="华文细黑" w:cs="华文细黑"/>
                <w:b/>
                <w:bCs/>
                <w:color w:val="000000"/>
                <w:sz w:val="20"/>
              </w:rPr>
            </w:pPr>
          </w:p>
        </w:tc>
      </w:tr>
      <w:tr>
        <w:tblPrEx>
          <w:tblCellMar>
            <w:top w:w="0" w:type="dxa"/>
            <w:left w:w="108" w:type="dxa"/>
            <w:bottom w:w="0" w:type="dxa"/>
            <w:right w:w="108" w:type="dxa"/>
          </w:tblCellMar>
        </w:tblPrEx>
        <w:trPr>
          <w:trHeight w:val="345" w:hRule="atLeast"/>
        </w:trPr>
        <w:tc>
          <w:tcPr>
            <w:tcW w:w="8237" w:type="dxa"/>
            <w:gridSpan w:val="1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合计 (RMB)</w:t>
            </w:r>
          </w:p>
        </w:tc>
        <w:tc>
          <w:tcPr>
            <w:tcW w:w="1225"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b/>
                <w:bCs/>
                <w:color w:val="000000"/>
                <w:sz w:val="20"/>
              </w:rPr>
            </w:pPr>
          </w:p>
        </w:tc>
      </w:tr>
      <w:tr>
        <w:tblPrEx>
          <w:tblCellMar>
            <w:top w:w="0" w:type="dxa"/>
            <w:left w:w="108" w:type="dxa"/>
            <w:bottom w:w="0" w:type="dxa"/>
            <w:right w:w="108" w:type="dxa"/>
          </w:tblCellMar>
        </w:tblPrEx>
        <w:trPr>
          <w:trHeight w:val="345" w:hRule="atLeast"/>
        </w:trPr>
        <w:tc>
          <w:tcPr>
            <w:tcW w:w="8237" w:type="dxa"/>
            <w:gridSpan w:val="1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税</w:t>
            </w:r>
          </w:p>
        </w:tc>
        <w:tc>
          <w:tcPr>
            <w:tcW w:w="1225"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b/>
                <w:bCs/>
                <w:color w:val="000000"/>
                <w:sz w:val="20"/>
              </w:rPr>
            </w:pPr>
          </w:p>
        </w:tc>
      </w:tr>
      <w:tr>
        <w:tblPrEx>
          <w:tblCellMar>
            <w:top w:w="0" w:type="dxa"/>
            <w:left w:w="108" w:type="dxa"/>
            <w:bottom w:w="0" w:type="dxa"/>
            <w:right w:w="108" w:type="dxa"/>
          </w:tblCellMar>
        </w:tblPrEx>
        <w:trPr>
          <w:trHeight w:val="345" w:hRule="atLeast"/>
        </w:trPr>
        <w:tc>
          <w:tcPr>
            <w:tcW w:w="8237" w:type="dxa"/>
            <w:gridSpan w:val="1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总计（RMB）</w:t>
            </w:r>
          </w:p>
        </w:tc>
        <w:tc>
          <w:tcPr>
            <w:tcW w:w="1225"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b/>
                <w:bCs/>
                <w:color w:val="000000"/>
                <w:sz w:val="20"/>
              </w:rPr>
            </w:pPr>
          </w:p>
        </w:tc>
      </w:tr>
      <w:tr>
        <w:tblPrEx>
          <w:tblCellMar>
            <w:top w:w="0" w:type="dxa"/>
            <w:left w:w="108" w:type="dxa"/>
            <w:bottom w:w="0" w:type="dxa"/>
            <w:right w:w="108" w:type="dxa"/>
          </w:tblCellMar>
        </w:tblPrEx>
        <w:trPr>
          <w:trHeight w:val="345" w:hRule="atLeast"/>
        </w:trPr>
        <w:tc>
          <w:tcPr>
            <w:tcW w:w="8237" w:type="dxa"/>
            <w:gridSpan w:val="12"/>
            <w:tcBorders>
              <w:top w:val="single" w:color="000000" w:sz="4" w:space="0"/>
              <w:left w:val="single" w:color="000000" w:sz="4" w:space="0"/>
              <w:bottom w:val="single" w:color="000000" w:sz="4" w:space="0"/>
              <w:right w:val="nil"/>
            </w:tcBorders>
            <w:noWrap/>
            <w:vAlign w:val="center"/>
          </w:tcPr>
          <w:p>
            <w:pPr>
              <w:widowControl/>
              <w:jc w:val="right"/>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合同执行优惠价（含税）</w:t>
            </w:r>
          </w:p>
        </w:tc>
        <w:tc>
          <w:tcPr>
            <w:tcW w:w="1225" w:type="dxa"/>
            <w:gridSpan w:val="3"/>
            <w:tcBorders>
              <w:top w:val="single" w:color="000000" w:sz="4" w:space="0"/>
              <w:left w:val="nil"/>
              <w:bottom w:val="single" w:color="000000" w:sz="4" w:space="0"/>
              <w:right w:val="single" w:color="000000" w:sz="4" w:space="0"/>
            </w:tcBorders>
            <w:noWrap/>
            <w:vAlign w:val="center"/>
          </w:tcPr>
          <w:p>
            <w:pPr>
              <w:jc w:val="center"/>
              <w:rPr>
                <w:rFonts w:ascii="华文细黑" w:hAnsi="华文细黑" w:eastAsia="华文细黑" w:cs="华文细黑"/>
                <w:b/>
                <w:bCs/>
                <w:color w:val="000000"/>
                <w:sz w:val="20"/>
              </w:rPr>
            </w:pPr>
          </w:p>
        </w:tc>
      </w:tr>
    </w:tbl>
    <w:p>
      <w:pPr>
        <w:autoSpaceDE w:val="0"/>
        <w:autoSpaceDN w:val="0"/>
        <w:spacing w:line="360" w:lineRule="auto"/>
        <w:rPr>
          <w:rFonts w:hAnsi="宋体"/>
          <w:b/>
          <w:spacing w:val="8"/>
          <w:sz w:val="28"/>
          <w:szCs w:val="28"/>
        </w:rPr>
      </w:pPr>
      <w:r>
        <w:rPr>
          <w:rFonts w:hint="eastAsia" w:hAnsi="宋体"/>
          <w:b/>
          <w:spacing w:val="8"/>
          <w:sz w:val="28"/>
          <w:szCs w:val="28"/>
        </w:rPr>
        <w:t>三、服务要求</w:t>
      </w:r>
    </w:p>
    <w:p>
      <w:pPr>
        <w:ind w:firstLine="480" w:firstLineChars="200"/>
        <w:rPr>
          <w:rFonts w:hAnsi="宋体" w:cs="宋体"/>
          <w:color w:val="000000" w:themeColor="text1"/>
          <w:sz w:val="24"/>
          <w:szCs w:val="24"/>
        </w:rPr>
      </w:pPr>
      <w:r>
        <w:rPr>
          <w:rFonts w:hint="eastAsia" w:hAnsi="宋体" w:cs="宋体"/>
          <w:color w:val="000000" w:themeColor="text1"/>
          <w:sz w:val="24"/>
          <w:szCs w:val="24"/>
        </w:rPr>
        <w:t>★1、供应商提供舞美设备租赁服务期间应服从采购人的监督和管理，按照采购人要求完成相关工作，活动具体设备数量根据采购人活动要求提供，供应商根据采购文件租赁清单提供设备和服务，如采购人根据晚会情况需调整设备的数量，增加的设备按照合同单价进行执行，减少的部分根据合同单价扣除。结算总价不得超过本次采购预算金额，最终以采购人最终核定的清单为准。</w:t>
      </w:r>
    </w:p>
    <w:p>
      <w:pPr>
        <w:ind w:firstLine="480" w:firstLineChars="200"/>
        <w:rPr>
          <w:rFonts w:hAnsi="宋体" w:cs="宋体"/>
          <w:color w:val="000000" w:themeColor="text1"/>
          <w:sz w:val="24"/>
          <w:szCs w:val="24"/>
        </w:rPr>
      </w:pPr>
    </w:p>
    <w:p>
      <w:pPr>
        <w:ind w:firstLine="480" w:firstLineChars="200"/>
        <w:rPr>
          <w:rFonts w:hAnsi="宋体" w:cs="宋体"/>
          <w:color w:val="000000" w:themeColor="text1"/>
          <w:sz w:val="24"/>
          <w:szCs w:val="24"/>
        </w:rPr>
      </w:pPr>
      <w:r>
        <w:rPr>
          <w:rFonts w:hint="eastAsia" w:hAnsi="宋体" w:cs="宋体"/>
          <w:color w:val="000000" w:themeColor="text1"/>
          <w:sz w:val="24"/>
          <w:szCs w:val="24"/>
        </w:rPr>
        <w:t>2、本次舞美设备租赁活动供应商需安排专人与采购人进行相关工作对接，并在本次活动开始前5个工作日内按采购人的活动要求及供应商文件中所提供的项目实施方案，结合租赁活动和时间情况完成最终活动方案的执行活动编制，并报采购人审核。（提供承诺函）</w:t>
      </w:r>
    </w:p>
    <w:p>
      <w:pPr>
        <w:ind w:firstLine="480" w:firstLineChars="200"/>
        <w:rPr>
          <w:rFonts w:hAnsi="宋体" w:cs="宋体"/>
          <w:color w:val="000000" w:themeColor="text1"/>
          <w:sz w:val="24"/>
          <w:szCs w:val="24"/>
        </w:rPr>
      </w:pPr>
    </w:p>
    <w:p>
      <w:pPr>
        <w:ind w:firstLine="480" w:firstLineChars="200"/>
        <w:rPr>
          <w:rFonts w:hAnsi="宋体" w:cs="宋体"/>
          <w:color w:val="000000" w:themeColor="text1"/>
          <w:sz w:val="24"/>
          <w:szCs w:val="24"/>
        </w:rPr>
      </w:pPr>
      <w:r>
        <w:rPr>
          <w:rFonts w:hint="eastAsia" w:hAnsi="宋体" w:cs="宋体"/>
          <w:color w:val="000000" w:themeColor="text1"/>
          <w:sz w:val="24"/>
          <w:szCs w:val="24"/>
        </w:rPr>
        <w:t>★3、供应商在履约过程中针对本次活动提供具体实施方案，内容至少包含（安装方式、舞台搭建效果设计图[设计人员配置、设计用时、展现形式）、舞台设计保障、设备安装时间以及预留时间、活动现场安全保障措施、应急方案（临时更换或增加、故障排除等）、施工人员安全措施（提供责任书承诺书）]。</w:t>
      </w:r>
    </w:p>
    <w:p>
      <w:pPr>
        <w:ind w:firstLine="480" w:firstLineChars="200"/>
        <w:rPr>
          <w:rFonts w:hAnsi="宋体" w:cs="宋体"/>
          <w:color w:val="000000" w:themeColor="text1"/>
          <w:sz w:val="24"/>
          <w:szCs w:val="24"/>
        </w:rPr>
      </w:pPr>
      <w:r>
        <w:rPr>
          <w:rFonts w:hint="eastAsia" w:hAnsi="宋体" w:cs="宋体"/>
          <w:color w:val="000000" w:themeColor="text1"/>
          <w:sz w:val="24"/>
          <w:szCs w:val="24"/>
        </w:rPr>
        <w:t>4、本次活动需在活动开展前48小时内严格按照采购人审核通过的活动方案，安装相关设备，完成舞台搭建以及2次完整彩排任务</w:t>
      </w:r>
    </w:p>
    <w:p>
      <w:pPr>
        <w:ind w:firstLine="480" w:firstLineChars="200"/>
        <w:rPr>
          <w:rFonts w:hAnsi="宋体" w:cs="宋体"/>
          <w:color w:val="000000" w:themeColor="text1"/>
          <w:sz w:val="24"/>
          <w:szCs w:val="24"/>
        </w:rPr>
      </w:pPr>
      <w:r>
        <w:rPr>
          <w:rFonts w:hint="eastAsia" w:hAnsi="宋体" w:cs="宋体"/>
          <w:color w:val="000000" w:themeColor="text1"/>
          <w:sz w:val="24"/>
          <w:szCs w:val="24"/>
        </w:rPr>
        <w:t>5、供应商不得减少本次舞美租赁设备所需的相关材料和设备，不得破坏场地内原有物资及设备。如需临时调整，必须经采购人同意方可实施，并且在活动结束后，将临时调整后的最终执行方案进行修改（电子、纸质）补交采购人。如出现了移动、移除原有设备的情况，需在活动结束后48小时内还原，并保证及时处理现场清洁卫生，还原所有费用由供应商承担。（提供承诺函）</w:t>
      </w:r>
    </w:p>
    <w:p>
      <w:pPr>
        <w:ind w:firstLine="240" w:firstLineChars="100"/>
        <w:rPr>
          <w:rFonts w:hAnsi="宋体" w:cs="宋体"/>
          <w:color w:val="000000" w:themeColor="text1"/>
          <w:sz w:val="24"/>
          <w:szCs w:val="24"/>
        </w:rPr>
      </w:pPr>
      <w:r>
        <w:rPr>
          <w:rFonts w:hint="eastAsia" w:hAnsi="宋体" w:cs="宋体"/>
          <w:color w:val="000000" w:themeColor="text1"/>
          <w:sz w:val="24"/>
          <w:szCs w:val="24"/>
        </w:rPr>
        <w:t>★6、供应商必须保证活动当天的所有设备正常运行，所有供应商的操作人员在场工作，如因设备原因或供应商操作人员的原因导致活动出现重大失误或活动无法正常进行的，供应商承担所有损失。（提供承诺函）</w:t>
      </w:r>
    </w:p>
    <w:p>
      <w:pPr>
        <w:ind w:firstLine="480" w:firstLineChars="200"/>
        <w:rPr>
          <w:rFonts w:hAnsi="宋体" w:cs="宋体"/>
          <w:color w:val="000000" w:themeColor="text1"/>
          <w:sz w:val="24"/>
          <w:szCs w:val="24"/>
        </w:rPr>
      </w:pPr>
      <w:r>
        <w:rPr>
          <w:rFonts w:hint="eastAsia" w:hAnsi="宋体" w:cs="宋体"/>
          <w:color w:val="000000" w:themeColor="text1"/>
          <w:sz w:val="24"/>
          <w:szCs w:val="24"/>
        </w:rPr>
        <w:t>7、供应商应保证采购人临时性的特殊需求，如有临时增加、临时更换设备或开展活动时间提前或延后等需求。（提供承诺函）</w:t>
      </w:r>
    </w:p>
    <w:p>
      <w:pPr>
        <w:ind w:firstLine="240" w:firstLineChars="100"/>
        <w:rPr>
          <w:rFonts w:hAnsi="宋体" w:cs="宋体"/>
          <w:color w:val="000000" w:themeColor="text1"/>
          <w:sz w:val="24"/>
          <w:szCs w:val="24"/>
        </w:rPr>
      </w:pPr>
      <w:r>
        <w:rPr>
          <w:rFonts w:hint="eastAsia" w:hAnsi="宋体" w:cs="宋体"/>
          <w:color w:val="000000" w:themeColor="text1"/>
          <w:sz w:val="24"/>
          <w:szCs w:val="24"/>
        </w:rPr>
        <w:t>★8、租赁期内设备如有损坏的，供应商应负责及时更换。</w:t>
      </w:r>
    </w:p>
    <w:p>
      <w:pPr>
        <w:ind w:firstLine="480" w:firstLineChars="200"/>
        <w:rPr>
          <w:rFonts w:hAnsi="宋体" w:cs="宋体"/>
          <w:color w:val="000000" w:themeColor="text1"/>
          <w:sz w:val="24"/>
          <w:szCs w:val="24"/>
        </w:rPr>
      </w:pPr>
      <w:r>
        <w:rPr>
          <w:rFonts w:hint="eastAsia" w:hAnsi="宋体" w:cs="宋体"/>
          <w:color w:val="000000" w:themeColor="text1"/>
          <w:sz w:val="24"/>
          <w:szCs w:val="24"/>
        </w:rPr>
        <w:t>9、供应商接受采购人监督，保证质量完成设备安装和舞美设计任务任务，保证活动的圆满完成，对出现的相关问题，采购人指出后，供应商不予采纳或拒不改正的，采购人有权终止合同。设备租赁期间应符合相关规定，如有违反法律法规的行为，则供应商自行承担由此产生的一切后果。</w:t>
      </w:r>
    </w:p>
    <w:p>
      <w:pPr>
        <w:autoSpaceDE w:val="0"/>
        <w:autoSpaceDN w:val="0"/>
        <w:ind w:firstLine="482" w:firstLineChars="200"/>
        <w:rPr>
          <w:rFonts w:hAnsi="宋体" w:cs="宋体"/>
          <w:b/>
          <w:bCs/>
          <w:sz w:val="24"/>
          <w:szCs w:val="24"/>
        </w:rPr>
      </w:pPr>
      <w:r>
        <w:rPr>
          <w:rFonts w:hint="eastAsia" w:hAnsi="宋体" w:cs="宋体"/>
          <w:b/>
          <w:bCs/>
          <w:sz w:val="24"/>
          <w:szCs w:val="24"/>
        </w:rPr>
        <w:t>2.其他要求：（实质性要求）</w:t>
      </w:r>
    </w:p>
    <w:p>
      <w:pPr>
        <w:autoSpaceDE w:val="0"/>
        <w:autoSpaceDN w:val="0"/>
        <w:ind w:firstLine="480" w:firstLineChars="200"/>
        <w:rPr>
          <w:rFonts w:cs="宋体"/>
          <w:sz w:val="24"/>
          <w:szCs w:val="24"/>
        </w:rPr>
      </w:pPr>
      <w:r>
        <w:rPr>
          <w:rFonts w:hint="eastAsia" w:cs="宋体"/>
          <w:sz w:val="24"/>
          <w:szCs w:val="24"/>
        </w:rPr>
        <w:t>（1）合同履行期限：2022年11月10日18：00之前验收合格并交付使用，使用时间为11月12日-13日。</w:t>
      </w:r>
    </w:p>
    <w:p>
      <w:pPr>
        <w:autoSpaceDE w:val="0"/>
        <w:autoSpaceDN w:val="0"/>
        <w:ind w:firstLine="480" w:firstLineChars="200"/>
        <w:rPr>
          <w:rFonts w:cs="宋体"/>
          <w:sz w:val="24"/>
          <w:szCs w:val="24"/>
        </w:rPr>
      </w:pPr>
      <w:r>
        <w:rPr>
          <w:rFonts w:hint="eastAsia" w:cs="宋体"/>
          <w:sz w:val="24"/>
          <w:szCs w:val="24"/>
        </w:rPr>
        <w:t>（2）供应商做好疫情防控，自行承担工作人员的餐饮、住宿、交通费用。供应商负责上述人员的安全管理并承担责任。</w:t>
      </w:r>
    </w:p>
    <w:p>
      <w:pPr>
        <w:autoSpaceDE w:val="0"/>
        <w:autoSpaceDN w:val="0"/>
        <w:ind w:firstLine="480" w:firstLineChars="200"/>
        <w:rPr>
          <w:rFonts w:cs="宋体"/>
          <w:sz w:val="24"/>
          <w:szCs w:val="24"/>
        </w:rPr>
      </w:pPr>
      <w:r>
        <w:rPr>
          <w:rFonts w:hint="eastAsia" w:cs="宋体"/>
          <w:sz w:val="24"/>
          <w:szCs w:val="24"/>
        </w:rPr>
        <w:t>（3）供应商应配合采购人做好组织协调工作，所有的布展11月10日18：00前完成，超过按1000元/小时在项目结算款中扣除。各项工作需经采购人确认同意后方可进行实施，项目实施过程中采购人有权根据实际情况要求供应商对计划执行方案进行合理的修改、完善。</w:t>
      </w:r>
    </w:p>
    <w:p>
      <w:pPr>
        <w:autoSpaceDE w:val="0"/>
        <w:autoSpaceDN w:val="0"/>
        <w:rPr>
          <w:rFonts w:cs="宋体"/>
          <w:sz w:val="24"/>
          <w:szCs w:val="24"/>
        </w:rPr>
      </w:pPr>
      <w:r>
        <w:rPr>
          <w:rFonts w:hint="eastAsia" w:cs="宋体"/>
          <w:sz w:val="24"/>
          <w:szCs w:val="24"/>
        </w:rPr>
        <w:t>（4）除采购人要求保留的项目外，其他项目由供应商负责撤除。</w:t>
      </w:r>
    </w:p>
    <w:p>
      <w:pPr>
        <w:autoSpaceDE w:val="0"/>
        <w:autoSpaceDN w:val="0"/>
      </w:pPr>
      <w:r>
        <w:rPr>
          <w:rFonts w:hint="eastAsia" w:cs="宋体"/>
          <w:sz w:val="24"/>
          <w:szCs w:val="24"/>
        </w:rPr>
        <w:t>（5）如因疫情影响，校庆活动不能线下举行，采购人按照项目单价和实际使用数目向供应商支付费用。</w:t>
      </w:r>
    </w:p>
    <w:p>
      <w:pPr>
        <w:adjustRightInd w:val="0"/>
        <w:snapToGrid w:val="0"/>
        <w:ind w:firstLine="2974" w:firstLineChars="788"/>
        <w:rPr>
          <w:rFonts w:hint="eastAsia" w:hAnsi="宋体"/>
          <w:b/>
          <w:spacing w:val="8"/>
          <w:sz w:val="36"/>
          <w:szCs w:val="36"/>
        </w:rPr>
      </w:pPr>
    </w:p>
    <w:p>
      <w:pPr>
        <w:adjustRightInd w:val="0"/>
        <w:snapToGrid w:val="0"/>
        <w:ind w:firstLine="2974" w:firstLineChars="788"/>
        <w:rPr>
          <w:rFonts w:hAnsi="宋体"/>
          <w:b/>
          <w:spacing w:val="8"/>
          <w:sz w:val="36"/>
          <w:szCs w:val="36"/>
        </w:rPr>
      </w:pPr>
      <w:r>
        <w:rPr>
          <w:rFonts w:hint="eastAsia" w:hAnsi="宋体"/>
          <w:b/>
          <w:spacing w:val="8"/>
          <w:sz w:val="36"/>
          <w:szCs w:val="36"/>
        </w:rPr>
        <w:t>第五章   评标办法</w:t>
      </w:r>
    </w:p>
    <w:p>
      <w:pPr>
        <w:autoSpaceDE w:val="0"/>
        <w:autoSpaceDN w:val="0"/>
        <w:ind w:firstLine="480" w:firstLineChars="200"/>
        <w:rPr>
          <w:rFonts w:cs="宋体"/>
          <w:sz w:val="24"/>
          <w:szCs w:val="24"/>
        </w:rPr>
      </w:pPr>
      <w:r>
        <w:rPr>
          <w:rFonts w:hint="eastAsia" w:cs="宋体"/>
          <w:sz w:val="24"/>
          <w:szCs w:val="24"/>
        </w:rPr>
        <w:t>一、评标办法</w:t>
      </w:r>
    </w:p>
    <w:p>
      <w:pPr>
        <w:autoSpaceDE w:val="0"/>
        <w:autoSpaceDN w:val="0"/>
        <w:ind w:firstLine="480" w:firstLineChars="200"/>
        <w:rPr>
          <w:rFonts w:cs="宋体"/>
          <w:sz w:val="24"/>
          <w:szCs w:val="24"/>
        </w:rPr>
      </w:pPr>
      <w:r>
        <w:rPr>
          <w:rFonts w:hint="eastAsia" w:cs="宋体"/>
          <w:sz w:val="24"/>
          <w:szCs w:val="24"/>
        </w:rPr>
        <w:t xml:space="preserve">本次评标采用综合评标法。 </w:t>
      </w:r>
    </w:p>
    <w:p>
      <w:pPr>
        <w:autoSpaceDE w:val="0"/>
        <w:autoSpaceDN w:val="0"/>
        <w:ind w:firstLine="480" w:firstLineChars="200"/>
        <w:rPr>
          <w:rFonts w:cs="宋体"/>
          <w:sz w:val="24"/>
          <w:szCs w:val="24"/>
        </w:rPr>
      </w:pPr>
      <w:r>
        <w:rPr>
          <w:rFonts w:hint="eastAsia" w:cs="宋体"/>
          <w:sz w:val="24"/>
          <w:szCs w:val="24"/>
        </w:rPr>
        <w:t xml:space="preserve">二、评分办法说明 </w:t>
      </w:r>
    </w:p>
    <w:p>
      <w:pPr>
        <w:autoSpaceDE w:val="0"/>
        <w:autoSpaceDN w:val="0"/>
        <w:ind w:firstLine="480" w:firstLineChars="200"/>
        <w:rPr>
          <w:rFonts w:cs="宋体"/>
          <w:sz w:val="24"/>
          <w:szCs w:val="24"/>
        </w:rPr>
      </w:pPr>
      <w:r>
        <w:rPr>
          <w:rFonts w:hint="eastAsia" w:cs="宋体"/>
          <w:sz w:val="24"/>
          <w:szCs w:val="24"/>
        </w:rPr>
        <w:t>对各投标文件进行详细评审打分，满分为 100 分。各投标人各方面的所有评价指标得分之和为该投标人的综合得分。</w:t>
      </w:r>
    </w:p>
    <w:p>
      <w:pPr>
        <w:autoSpaceDE w:val="0"/>
        <w:autoSpaceDN w:val="0"/>
        <w:ind w:firstLine="480" w:firstLineChars="200"/>
        <w:rPr>
          <w:rFonts w:cs="宋体"/>
          <w:sz w:val="24"/>
          <w:szCs w:val="24"/>
        </w:rPr>
      </w:pPr>
      <w:r>
        <w:rPr>
          <w:rFonts w:hint="eastAsia" w:cs="宋体"/>
          <w:sz w:val="24"/>
          <w:szCs w:val="24"/>
        </w:rPr>
        <w:t xml:space="preserve">详细评分标准如下表：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245"/>
        <w:gridCol w:w="570"/>
        <w:gridCol w:w="5565"/>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9" w:type="dxa"/>
          </w:tcPr>
          <w:p>
            <w:pPr>
              <w:jc w:val="center"/>
            </w:pPr>
            <w:r>
              <w:rPr>
                <w:rFonts w:hint="eastAsia"/>
              </w:rPr>
              <w:t>序号</w:t>
            </w:r>
          </w:p>
        </w:tc>
        <w:tc>
          <w:tcPr>
            <w:tcW w:w="1245" w:type="dxa"/>
          </w:tcPr>
          <w:p>
            <w:pPr>
              <w:jc w:val="center"/>
              <w:rPr>
                <w:rFonts w:eastAsiaTheme="minorEastAsia"/>
              </w:rPr>
            </w:pPr>
            <w:r>
              <w:rPr>
                <w:rFonts w:hint="eastAsia"/>
              </w:rPr>
              <w:t>评分因素及权重</w:t>
            </w:r>
          </w:p>
        </w:tc>
        <w:tc>
          <w:tcPr>
            <w:tcW w:w="570" w:type="dxa"/>
          </w:tcPr>
          <w:p>
            <w:pPr>
              <w:jc w:val="center"/>
              <w:rPr>
                <w:rFonts w:eastAsiaTheme="minorEastAsia"/>
              </w:rPr>
            </w:pPr>
            <w:r>
              <w:rPr>
                <w:rFonts w:hint="eastAsia"/>
              </w:rPr>
              <w:t>分值</w:t>
            </w:r>
          </w:p>
        </w:tc>
        <w:tc>
          <w:tcPr>
            <w:tcW w:w="5565" w:type="dxa"/>
          </w:tcPr>
          <w:p>
            <w:pPr>
              <w:jc w:val="center"/>
            </w:pPr>
            <w:r>
              <w:rPr>
                <w:rFonts w:hint="eastAsia"/>
              </w:rPr>
              <w:t>评分标准</w:t>
            </w:r>
          </w:p>
        </w:tc>
        <w:tc>
          <w:tcPr>
            <w:tcW w:w="743" w:type="dxa"/>
          </w:tcPr>
          <w:p>
            <w:pPr>
              <w:jc w:val="center"/>
              <w:rPr>
                <w:rFonts w:eastAsiaTheme="minorEastAsia"/>
              </w:rP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pPr>
              <w:jc w:val="center"/>
              <w:rPr>
                <w:rFonts w:eastAsiaTheme="minorEastAsia"/>
                <w:sz w:val="21"/>
                <w:szCs w:val="21"/>
              </w:rPr>
            </w:pPr>
            <w:r>
              <w:rPr>
                <w:rFonts w:hint="eastAsia"/>
                <w:sz w:val="21"/>
                <w:szCs w:val="21"/>
              </w:rPr>
              <w:t>1</w:t>
            </w:r>
          </w:p>
        </w:tc>
        <w:tc>
          <w:tcPr>
            <w:tcW w:w="1245" w:type="dxa"/>
          </w:tcPr>
          <w:p>
            <w:pPr>
              <w:jc w:val="center"/>
              <w:rPr>
                <w:sz w:val="21"/>
                <w:szCs w:val="21"/>
              </w:rPr>
            </w:pPr>
            <w:r>
              <w:rPr>
                <w:rFonts w:hint="eastAsia"/>
                <w:sz w:val="21"/>
                <w:szCs w:val="21"/>
              </w:rPr>
              <w:t>报价20%</w:t>
            </w:r>
          </w:p>
        </w:tc>
        <w:tc>
          <w:tcPr>
            <w:tcW w:w="570" w:type="dxa"/>
          </w:tcPr>
          <w:p>
            <w:pPr>
              <w:jc w:val="center"/>
              <w:rPr>
                <w:rFonts w:eastAsiaTheme="minorEastAsia"/>
                <w:sz w:val="21"/>
                <w:szCs w:val="21"/>
              </w:rPr>
            </w:pPr>
            <w:r>
              <w:rPr>
                <w:rFonts w:hint="eastAsia"/>
                <w:sz w:val="21"/>
                <w:szCs w:val="21"/>
              </w:rPr>
              <w:t>20分</w:t>
            </w:r>
          </w:p>
        </w:tc>
        <w:tc>
          <w:tcPr>
            <w:tcW w:w="5565" w:type="dxa"/>
          </w:tcPr>
          <w:p>
            <w:pPr>
              <w:jc w:val="left"/>
              <w:rPr>
                <w:sz w:val="21"/>
                <w:szCs w:val="21"/>
              </w:rPr>
            </w:pPr>
            <w:r>
              <w:rPr>
                <w:rFonts w:hint="eastAsia"/>
                <w:sz w:val="21"/>
                <w:szCs w:val="21"/>
              </w:rPr>
              <w:t>满足招标文件要求且投标报价为评标基准价，其价格分为满分。其它价格分统一按照下列公式计算：投标报价得分=（投标基准价/最后报价）*20</w:t>
            </w:r>
          </w:p>
        </w:tc>
        <w:tc>
          <w:tcPr>
            <w:tcW w:w="743" w:type="dxa"/>
          </w:tcPr>
          <w:p>
            <w:pPr>
              <w:jc w:val="center"/>
              <w:rPr>
                <w:rFonts w:eastAsiaTheme="minorEastAsia"/>
                <w:sz w:val="21"/>
                <w:szCs w:val="21"/>
              </w:rPr>
            </w:pPr>
            <w:r>
              <w:rPr>
                <w:rFonts w:hint="eastAsia"/>
                <w:sz w:val="21"/>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pPr>
              <w:jc w:val="center"/>
              <w:rPr>
                <w:rFonts w:eastAsiaTheme="minorEastAsia"/>
                <w:sz w:val="21"/>
                <w:szCs w:val="21"/>
              </w:rPr>
            </w:pPr>
            <w:r>
              <w:rPr>
                <w:rFonts w:hint="eastAsia"/>
                <w:sz w:val="21"/>
                <w:szCs w:val="21"/>
              </w:rPr>
              <w:t>2</w:t>
            </w:r>
          </w:p>
        </w:tc>
        <w:tc>
          <w:tcPr>
            <w:tcW w:w="1245" w:type="dxa"/>
          </w:tcPr>
          <w:p>
            <w:pPr>
              <w:jc w:val="center"/>
              <w:rPr>
                <w:sz w:val="21"/>
                <w:szCs w:val="21"/>
              </w:rPr>
            </w:pPr>
            <w:r>
              <w:rPr>
                <w:rFonts w:hint="eastAsia"/>
                <w:sz w:val="21"/>
                <w:szCs w:val="21"/>
              </w:rPr>
              <w:t>服务要求26%</w:t>
            </w:r>
          </w:p>
        </w:tc>
        <w:tc>
          <w:tcPr>
            <w:tcW w:w="570" w:type="dxa"/>
          </w:tcPr>
          <w:p>
            <w:pPr>
              <w:jc w:val="center"/>
              <w:rPr>
                <w:rFonts w:eastAsiaTheme="minorEastAsia"/>
                <w:sz w:val="21"/>
                <w:szCs w:val="21"/>
              </w:rPr>
            </w:pPr>
            <w:r>
              <w:rPr>
                <w:rFonts w:hint="eastAsia"/>
                <w:sz w:val="21"/>
                <w:szCs w:val="21"/>
              </w:rPr>
              <w:t>26分</w:t>
            </w:r>
          </w:p>
        </w:tc>
        <w:tc>
          <w:tcPr>
            <w:tcW w:w="5565" w:type="dxa"/>
          </w:tcPr>
          <w:p>
            <w:pPr>
              <w:jc w:val="left"/>
              <w:rPr>
                <w:sz w:val="21"/>
                <w:szCs w:val="21"/>
              </w:rPr>
            </w:pPr>
            <w:r>
              <w:rPr>
                <w:rFonts w:hint="eastAsia"/>
                <w:sz w:val="21"/>
                <w:szCs w:val="21"/>
              </w:rPr>
              <w:t>完全符合招标文件“服务要求” 没有负偏离的得26分；每有一项（非“★”号的参数共4项）有负偏离的扣4分，扣完为止，“★”号的项目不得偏离。</w:t>
            </w:r>
          </w:p>
        </w:tc>
        <w:tc>
          <w:tcPr>
            <w:tcW w:w="743" w:type="dxa"/>
          </w:tcPr>
          <w:p>
            <w:pPr>
              <w:jc w:val="center"/>
              <w:rPr>
                <w:sz w:val="21"/>
                <w:szCs w:val="21"/>
              </w:rPr>
            </w:pPr>
            <w:r>
              <w:rPr>
                <w:rFonts w:hint="eastAsia"/>
                <w:sz w:val="21"/>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99" w:type="dxa"/>
          </w:tcPr>
          <w:p>
            <w:pPr>
              <w:jc w:val="center"/>
              <w:rPr>
                <w:rFonts w:eastAsiaTheme="minorEastAsia"/>
                <w:sz w:val="21"/>
                <w:szCs w:val="21"/>
              </w:rPr>
            </w:pPr>
            <w:r>
              <w:rPr>
                <w:rFonts w:hint="eastAsia"/>
                <w:sz w:val="21"/>
                <w:szCs w:val="21"/>
              </w:rPr>
              <w:t>3</w:t>
            </w:r>
          </w:p>
        </w:tc>
        <w:tc>
          <w:tcPr>
            <w:tcW w:w="1245" w:type="dxa"/>
          </w:tcPr>
          <w:p>
            <w:pPr>
              <w:jc w:val="center"/>
              <w:rPr>
                <w:sz w:val="21"/>
                <w:szCs w:val="21"/>
              </w:rPr>
            </w:pPr>
          </w:p>
          <w:p>
            <w:pPr>
              <w:jc w:val="center"/>
              <w:rPr>
                <w:sz w:val="21"/>
                <w:szCs w:val="21"/>
              </w:rPr>
            </w:pPr>
          </w:p>
          <w:p>
            <w:pPr>
              <w:jc w:val="center"/>
              <w:rPr>
                <w:sz w:val="21"/>
                <w:szCs w:val="21"/>
              </w:rPr>
            </w:pPr>
          </w:p>
          <w:p>
            <w:pPr>
              <w:jc w:val="center"/>
              <w:rPr>
                <w:sz w:val="21"/>
                <w:szCs w:val="21"/>
              </w:rPr>
            </w:pPr>
            <w:r>
              <w:rPr>
                <w:rFonts w:hint="eastAsia"/>
                <w:sz w:val="21"/>
                <w:szCs w:val="21"/>
              </w:rPr>
              <w:t>团队配置24%</w:t>
            </w:r>
          </w:p>
        </w:tc>
        <w:tc>
          <w:tcPr>
            <w:tcW w:w="570" w:type="dxa"/>
          </w:tcPr>
          <w:p>
            <w:pPr>
              <w:jc w:val="center"/>
              <w:rPr>
                <w:rFonts w:hint="eastAsia"/>
                <w:sz w:val="21"/>
                <w:szCs w:val="21"/>
              </w:rPr>
            </w:pPr>
          </w:p>
          <w:p>
            <w:pPr>
              <w:jc w:val="center"/>
              <w:rPr>
                <w:rFonts w:hint="eastAsia"/>
                <w:sz w:val="21"/>
                <w:szCs w:val="21"/>
              </w:rPr>
            </w:pPr>
          </w:p>
          <w:p>
            <w:pPr>
              <w:jc w:val="center"/>
              <w:rPr>
                <w:rFonts w:eastAsiaTheme="minorEastAsia"/>
                <w:sz w:val="21"/>
                <w:szCs w:val="21"/>
              </w:rPr>
            </w:pPr>
            <w:r>
              <w:rPr>
                <w:rFonts w:hint="eastAsia"/>
                <w:sz w:val="21"/>
                <w:szCs w:val="21"/>
              </w:rPr>
              <w:t>24分</w:t>
            </w:r>
          </w:p>
        </w:tc>
        <w:tc>
          <w:tcPr>
            <w:tcW w:w="5565" w:type="dxa"/>
          </w:tcPr>
          <w:p>
            <w:pPr>
              <w:jc w:val="left"/>
              <w:rPr>
                <w:sz w:val="21"/>
                <w:szCs w:val="21"/>
              </w:rPr>
            </w:pPr>
            <w:r>
              <w:rPr>
                <w:rFonts w:hint="eastAsia"/>
                <w:sz w:val="21"/>
                <w:szCs w:val="21"/>
              </w:rPr>
              <w:t>1、拟投入本项目的团队成员满足招标文件要求8人的得24分，每减少一人扣3分，扣完为止。</w:t>
            </w:r>
          </w:p>
          <w:p>
            <w:pPr>
              <w:jc w:val="left"/>
              <w:rPr>
                <w:sz w:val="21"/>
                <w:szCs w:val="21"/>
              </w:rPr>
            </w:pPr>
            <w:r>
              <w:rPr>
                <w:rFonts w:hint="eastAsia"/>
                <w:sz w:val="21"/>
                <w:szCs w:val="21"/>
              </w:rPr>
              <w:t>2、其中拟投入本项目的团队成员中的需持证（舞台灯光操作证等）的专业技术人员，每减少1人扣2分；</w:t>
            </w:r>
          </w:p>
          <w:p>
            <w:pPr>
              <w:jc w:val="left"/>
              <w:rPr>
                <w:sz w:val="21"/>
                <w:szCs w:val="21"/>
              </w:rPr>
            </w:pPr>
            <w:r>
              <w:rPr>
                <w:rFonts w:hint="eastAsia"/>
                <w:sz w:val="21"/>
                <w:szCs w:val="21"/>
              </w:rPr>
              <w:t>注：1、提供资格证书复印件证书复印件；2、提供在职证明材料。</w:t>
            </w:r>
            <w:r>
              <w:rPr>
                <w:rFonts w:hint="eastAsia"/>
                <w:b/>
                <w:bCs/>
                <w:sz w:val="21"/>
                <w:szCs w:val="21"/>
              </w:rPr>
              <w:t>注：提供团队人员配置及分工表及在职证明材料。</w:t>
            </w:r>
          </w:p>
        </w:tc>
        <w:tc>
          <w:tcPr>
            <w:tcW w:w="743" w:type="dxa"/>
          </w:tcPr>
          <w:p>
            <w:pPr>
              <w:jc w:val="center"/>
              <w:rPr>
                <w:sz w:val="21"/>
                <w:szCs w:val="21"/>
              </w:rPr>
            </w:pPr>
            <w:r>
              <w:rPr>
                <w:rFonts w:hint="eastAsia"/>
                <w:sz w:val="21"/>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pPr>
              <w:jc w:val="center"/>
              <w:rPr>
                <w:rFonts w:eastAsiaTheme="minorEastAsia"/>
                <w:sz w:val="21"/>
                <w:szCs w:val="21"/>
              </w:rPr>
            </w:pPr>
            <w:r>
              <w:rPr>
                <w:rFonts w:hint="eastAsia"/>
                <w:sz w:val="21"/>
                <w:szCs w:val="21"/>
              </w:rPr>
              <w:t>4</w:t>
            </w:r>
          </w:p>
        </w:tc>
        <w:tc>
          <w:tcPr>
            <w:tcW w:w="1245" w:type="dxa"/>
          </w:tcPr>
          <w:p>
            <w:pPr>
              <w:jc w:val="center"/>
              <w:rPr>
                <w:sz w:val="21"/>
                <w:szCs w:val="21"/>
              </w:rPr>
            </w:pPr>
            <w:r>
              <w:rPr>
                <w:rFonts w:hint="eastAsia"/>
                <w:sz w:val="21"/>
                <w:szCs w:val="21"/>
              </w:rPr>
              <w:t>服务方案 20%</w:t>
            </w:r>
          </w:p>
        </w:tc>
        <w:tc>
          <w:tcPr>
            <w:tcW w:w="570" w:type="dxa"/>
          </w:tcPr>
          <w:p>
            <w:pPr>
              <w:jc w:val="center"/>
              <w:rPr>
                <w:rFonts w:hint="eastAsia"/>
                <w:sz w:val="21"/>
                <w:szCs w:val="21"/>
              </w:rPr>
            </w:pPr>
          </w:p>
          <w:p>
            <w:pPr>
              <w:jc w:val="center"/>
              <w:rPr>
                <w:rFonts w:hint="eastAsia"/>
                <w:sz w:val="21"/>
                <w:szCs w:val="21"/>
              </w:rPr>
            </w:pPr>
          </w:p>
          <w:p>
            <w:pPr>
              <w:jc w:val="center"/>
              <w:rPr>
                <w:rFonts w:eastAsiaTheme="minorEastAsia"/>
                <w:sz w:val="21"/>
                <w:szCs w:val="21"/>
              </w:rPr>
            </w:pPr>
            <w:bookmarkStart w:id="97" w:name="_GoBack"/>
            <w:bookmarkEnd w:id="97"/>
            <w:r>
              <w:rPr>
                <w:rFonts w:hint="eastAsia"/>
                <w:sz w:val="21"/>
                <w:szCs w:val="21"/>
              </w:rPr>
              <w:t>20分</w:t>
            </w:r>
          </w:p>
        </w:tc>
        <w:tc>
          <w:tcPr>
            <w:tcW w:w="5565" w:type="dxa"/>
          </w:tcPr>
          <w:p>
            <w:pPr>
              <w:jc w:val="left"/>
              <w:rPr>
                <w:sz w:val="21"/>
                <w:szCs w:val="21"/>
              </w:rPr>
            </w:pPr>
            <w:r>
              <w:rPr>
                <w:rFonts w:hint="eastAsia"/>
                <w:sz w:val="21"/>
                <w:szCs w:val="21"/>
              </w:rPr>
              <w:t>根据供应商针对本项目的实施方案[包含安装方式4分、舞台效果设计6分（设计人员配置、设计用时、展现形式），舞台设计保障6分（设备安装完成时间以及预留时间、活动现场安全保障措施、施工人员安全措施等）应急方案4分]进行评分；实施方案详尽合理。</w:t>
            </w:r>
          </w:p>
          <w:p>
            <w:pPr>
              <w:jc w:val="left"/>
              <w:rPr>
                <w:sz w:val="21"/>
                <w:szCs w:val="21"/>
              </w:rPr>
            </w:pPr>
            <w:r>
              <w:rPr>
                <w:rFonts w:hint="eastAsia"/>
                <w:b/>
                <w:bCs/>
                <w:sz w:val="21"/>
                <w:szCs w:val="21"/>
              </w:rPr>
              <w:t>注：以评审专家结合项目实际情况和响应文件独立评审为准。</w:t>
            </w:r>
          </w:p>
        </w:tc>
        <w:tc>
          <w:tcPr>
            <w:tcW w:w="743" w:type="dxa"/>
          </w:tcPr>
          <w:p>
            <w:pPr>
              <w:jc w:val="center"/>
              <w:rPr>
                <w:sz w:val="21"/>
                <w:szCs w:val="21"/>
              </w:rPr>
            </w:pPr>
            <w:r>
              <w:rPr>
                <w:rFonts w:hint="eastAsia"/>
                <w:sz w:val="21"/>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pPr>
              <w:jc w:val="center"/>
              <w:rPr>
                <w:rFonts w:eastAsiaTheme="minorEastAsia"/>
                <w:sz w:val="21"/>
                <w:szCs w:val="21"/>
              </w:rPr>
            </w:pPr>
            <w:r>
              <w:rPr>
                <w:rFonts w:hint="eastAsia"/>
                <w:sz w:val="21"/>
                <w:szCs w:val="21"/>
              </w:rPr>
              <w:t>5</w:t>
            </w:r>
          </w:p>
        </w:tc>
        <w:tc>
          <w:tcPr>
            <w:tcW w:w="1245" w:type="dxa"/>
          </w:tcPr>
          <w:p>
            <w:pPr>
              <w:jc w:val="center"/>
              <w:rPr>
                <w:sz w:val="21"/>
                <w:szCs w:val="21"/>
              </w:rPr>
            </w:pPr>
            <w:r>
              <w:rPr>
                <w:rFonts w:hint="eastAsia"/>
                <w:sz w:val="21"/>
                <w:szCs w:val="21"/>
              </w:rPr>
              <w:t>履约经验10%</w:t>
            </w:r>
          </w:p>
        </w:tc>
        <w:tc>
          <w:tcPr>
            <w:tcW w:w="570" w:type="dxa"/>
          </w:tcPr>
          <w:p>
            <w:pPr>
              <w:jc w:val="center"/>
              <w:rPr>
                <w:rFonts w:eastAsiaTheme="minorEastAsia"/>
                <w:sz w:val="21"/>
                <w:szCs w:val="21"/>
              </w:rPr>
            </w:pPr>
            <w:r>
              <w:rPr>
                <w:rFonts w:hint="eastAsia"/>
                <w:sz w:val="21"/>
                <w:szCs w:val="21"/>
              </w:rPr>
              <w:t>10分</w:t>
            </w:r>
          </w:p>
        </w:tc>
        <w:tc>
          <w:tcPr>
            <w:tcW w:w="5565" w:type="dxa"/>
          </w:tcPr>
          <w:p>
            <w:pPr>
              <w:jc w:val="left"/>
              <w:rPr>
                <w:sz w:val="21"/>
                <w:szCs w:val="21"/>
              </w:rPr>
            </w:pPr>
            <w:r>
              <w:rPr>
                <w:rFonts w:hint="eastAsia"/>
                <w:sz w:val="21"/>
                <w:szCs w:val="21"/>
              </w:rPr>
              <w:t xml:space="preserve"> 根据供应商提供2019年（含</w:t>
            </w:r>
            <w:r>
              <w:rPr>
                <w:rFonts w:hint="eastAsia"/>
                <w:sz w:val="21"/>
                <w:szCs w:val="21"/>
                <w:lang w:val="en-US" w:eastAsia="zh-CN"/>
              </w:rPr>
              <w:t>2019年</w:t>
            </w:r>
            <w:r>
              <w:rPr>
                <w:rFonts w:hint="eastAsia"/>
                <w:sz w:val="21"/>
                <w:szCs w:val="21"/>
              </w:rPr>
              <w:t>）的类似项目的履约经验进行计分，每提供1个得2分，最多得10分。</w:t>
            </w:r>
          </w:p>
          <w:p>
            <w:pPr>
              <w:jc w:val="left"/>
              <w:rPr>
                <w:sz w:val="21"/>
                <w:szCs w:val="21"/>
              </w:rPr>
            </w:pPr>
            <w:r>
              <w:rPr>
                <w:rFonts w:hint="eastAsia"/>
                <w:b/>
                <w:bCs/>
                <w:sz w:val="21"/>
                <w:szCs w:val="21"/>
              </w:rPr>
              <w:t xml:space="preserve">注：提供项目合同复印件。 </w:t>
            </w:r>
          </w:p>
        </w:tc>
        <w:tc>
          <w:tcPr>
            <w:tcW w:w="743"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rPr>
                <w:sz w:val="21"/>
                <w:szCs w:val="21"/>
              </w:rPr>
            </w:pPr>
            <w:r>
              <w:rPr>
                <w:rFonts w:hint="eastAsia"/>
                <w:sz w:val="21"/>
                <w:szCs w:val="21"/>
              </w:rPr>
              <w:t>注:1、评分的取值按四舍五入法，小数点保留后两位；2、本表中要求提供各类证明材料，均需加盖供应商单位公章，否则将不认可该项材料的有效性。</w:t>
            </w:r>
          </w:p>
        </w:tc>
      </w:tr>
    </w:tbl>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三</w:t>
      </w:r>
      <w:r>
        <w:rPr>
          <w:rFonts w:hAnsi="宋体" w:cs="宋体"/>
          <w:bCs/>
          <w:spacing w:val="8"/>
          <w:sz w:val="24"/>
          <w:szCs w:val="24"/>
        </w:rPr>
        <w:t xml:space="preserve">、 投标文件的澄清 </w:t>
      </w:r>
    </w:p>
    <w:p>
      <w:r>
        <w:rPr>
          <w:rFonts w:hAnsi="宋体" w:cs="宋体"/>
          <w:bCs/>
          <w:spacing w:val="8"/>
          <w:sz w:val="24"/>
          <w:szCs w:val="24"/>
        </w:rPr>
        <w:t xml:space="preserve">    为了便于评标小组更加全面有效的对所有投标人的投标文件进行审查、评估和比较，评标小组在评标的过程中随时有权向投标人质疑，请投标人澄清其投标内容。投标人有效书面澄清文件将被理解为其投标文件的一部分，但任何澄清均不得改变投标人的实质内容，否则在评标中不予考虑。</w:t>
      </w:r>
    </w:p>
    <w:p>
      <w:pPr>
        <w:rPr>
          <w:rFonts w:hAnsi="宋体" w:cs="宋体"/>
          <w:sz w:val="30"/>
          <w:szCs w:val="30"/>
        </w:rPr>
      </w:pPr>
    </w:p>
    <w:p/>
    <w:p>
      <w:pPr>
        <w:pStyle w:val="4"/>
        <w:snapToGrid w:val="0"/>
        <w:spacing w:before="0" w:after="0" w:line="240" w:lineRule="auto"/>
        <w:jc w:val="center"/>
        <w:rPr>
          <w:rFonts w:hAnsi="宋体"/>
          <w:sz w:val="32"/>
          <w:szCs w:val="32"/>
        </w:rPr>
      </w:pPr>
      <w:r>
        <w:rPr>
          <w:rFonts w:hint="eastAsia" w:hAnsi="宋体"/>
          <w:sz w:val="32"/>
          <w:szCs w:val="32"/>
        </w:rPr>
        <w:t xml:space="preserve">  </w:t>
      </w:r>
    </w:p>
    <w:p>
      <w:pPr>
        <w:pStyle w:val="4"/>
        <w:snapToGrid w:val="0"/>
        <w:spacing w:before="0" w:after="0" w:line="360" w:lineRule="auto"/>
        <w:ind w:firstLine="2711" w:firstLineChars="900"/>
        <w:rPr>
          <w:rFonts w:hAnsi="宋体" w:cs="宋体"/>
          <w:sz w:val="30"/>
          <w:szCs w:val="30"/>
        </w:rPr>
      </w:pPr>
    </w:p>
    <w:p>
      <w:pPr>
        <w:pStyle w:val="4"/>
        <w:snapToGrid w:val="0"/>
        <w:spacing w:before="0" w:after="0" w:line="360" w:lineRule="auto"/>
        <w:ind w:firstLine="2711" w:firstLineChars="900"/>
        <w:rPr>
          <w:rFonts w:hAnsi="宋体" w:cs="宋体"/>
          <w:sz w:val="30"/>
          <w:szCs w:val="30"/>
        </w:rPr>
      </w:pPr>
    </w:p>
    <w:p>
      <w:pPr>
        <w:pStyle w:val="4"/>
        <w:snapToGrid w:val="0"/>
        <w:spacing w:before="0" w:after="0" w:line="360" w:lineRule="auto"/>
        <w:ind w:firstLine="2711" w:firstLineChars="900"/>
        <w:rPr>
          <w:rFonts w:hAnsi="宋体" w:cs="宋体"/>
          <w:sz w:val="30"/>
          <w:szCs w:val="30"/>
        </w:rPr>
      </w:pPr>
    </w:p>
    <w:p>
      <w:pPr>
        <w:pStyle w:val="4"/>
        <w:snapToGrid w:val="0"/>
        <w:spacing w:before="0" w:after="0" w:line="360" w:lineRule="auto"/>
        <w:ind w:firstLine="2711" w:firstLineChars="900"/>
        <w:rPr>
          <w:rFonts w:hAnsi="宋体" w:cs="宋体"/>
          <w:sz w:val="30"/>
          <w:szCs w:val="30"/>
        </w:rPr>
      </w:pPr>
    </w:p>
    <w:p>
      <w:pPr>
        <w:pStyle w:val="4"/>
        <w:snapToGrid w:val="0"/>
        <w:spacing w:before="0" w:after="0" w:line="360" w:lineRule="auto"/>
        <w:ind w:firstLine="2711" w:firstLineChars="900"/>
        <w:rPr>
          <w:rFonts w:hAnsi="宋体" w:cs="宋体"/>
          <w:sz w:val="30"/>
          <w:szCs w:val="30"/>
        </w:rPr>
      </w:pPr>
    </w:p>
    <w:p>
      <w:pPr>
        <w:pStyle w:val="4"/>
        <w:snapToGrid w:val="0"/>
        <w:spacing w:before="0" w:after="0" w:line="360" w:lineRule="auto"/>
        <w:ind w:firstLine="2711" w:firstLineChars="900"/>
        <w:rPr>
          <w:rFonts w:hAnsi="宋体" w:cs="宋体"/>
          <w:sz w:val="30"/>
          <w:szCs w:val="30"/>
        </w:rPr>
      </w:pPr>
    </w:p>
    <w:p>
      <w:pPr>
        <w:pStyle w:val="4"/>
        <w:snapToGrid w:val="0"/>
        <w:spacing w:before="0" w:after="0" w:line="360" w:lineRule="auto"/>
        <w:ind w:firstLine="2711" w:firstLineChars="900"/>
        <w:rPr>
          <w:rFonts w:hAnsi="宋体" w:cs="宋体"/>
          <w:sz w:val="30"/>
          <w:szCs w:val="30"/>
        </w:rPr>
      </w:pPr>
    </w:p>
    <w:p>
      <w:pPr>
        <w:pStyle w:val="4"/>
        <w:snapToGrid w:val="0"/>
        <w:spacing w:before="0" w:after="0" w:line="360" w:lineRule="auto"/>
        <w:ind w:firstLine="2711" w:firstLineChars="900"/>
        <w:rPr>
          <w:rFonts w:hAnsi="宋体" w:cs="宋体"/>
          <w:sz w:val="30"/>
          <w:szCs w:val="30"/>
        </w:rPr>
      </w:pPr>
    </w:p>
    <w:p>
      <w:pPr>
        <w:pStyle w:val="4"/>
        <w:snapToGrid w:val="0"/>
        <w:spacing w:before="0" w:after="0" w:line="360" w:lineRule="auto"/>
        <w:ind w:firstLine="2711" w:firstLineChars="900"/>
        <w:rPr>
          <w:rFonts w:hAnsi="宋体" w:cs="宋体"/>
          <w:sz w:val="30"/>
          <w:szCs w:val="30"/>
        </w:rPr>
      </w:pPr>
    </w:p>
    <w:p>
      <w:pPr>
        <w:rPr>
          <w:rFonts w:hAnsi="宋体" w:cs="宋体"/>
          <w:sz w:val="30"/>
          <w:szCs w:val="30"/>
        </w:rPr>
      </w:pPr>
      <w:r>
        <w:rPr>
          <w:rFonts w:hint="eastAsia" w:hAnsi="宋体" w:cs="宋体"/>
          <w:sz w:val="30"/>
          <w:szCs w:val="30"/>
        </w:rPr>
        <w:br w:type="page"/>
      </w:r>
    </w:p>
    <w:p>
      <w:pPr>
        <w:pStyle w:val="4"/>
        <w:snapToGrid w:val="0"/>
        <w:spacing w:before="0" w:after="0" w:line="360" w:lineRule="auto"/>
        <w:ind w:firstLine="2711" w:firstLineChars="900"/>
        <w:rPr>
          <w:rFonts w:hAnsi="宋体" w:cs="宋体"/>
          <w:sz w:val="30"/>
          <w:szCs w:val="30"/>
        </w:rPr>
      </w:pPr>
    </w:p>
    <w:p>
      <w:pPr>
        <w:pStyle w:val="4"/>
        <w:snapToGrid w:val="0"/>
        <w:spacing w:before="0" w:after="0" w:line="360" w:lineRule="auto"/>
        <w:ind w:firstLine="2711" w:firstLineChars="900"/>
        <w:rPr>
          <w:rFonts w:hAnsi="宋体" w:cs="宋体"/>
          <w:sz w:val="30"/>
          <w:szCs w:val="30"/>
        </w:rPr>
      </w:pPr>
      <w:r>
        <w:rPr>
          <w:rFonts w:hint="eastAsia" w:hAnsi="宋体" w:cs="宋体"/>
          <w:sz w:val="30"/>
          <w:szCs w:val="30"/>
        </w:rPr>
        <w:t>第六章 合同主要条款</w:t>
      </w:r>
    </w:p>
    <w:p>
      <w:pPr>
        <w:jc w:val="center"/>
      </w:pPr>
      <w:r>
        <w:rPr>
          <w:rFonts w:hint="eastAsia" w:ascii="Times New Roman" w:hAnsi="宋体" w:cs="宋体"/>
          <w:b/>
          <w:bCs/>
          <w:sz w:val="24"/>
          <w:szCs w:val="24"/>
        </w:rPr>
        <w:t>（仅供参考</w:t>
      </w:r>
      <w:r>
        <w:rPr>
          <w:rFonts w:hint="eastAsia" w:ascii="Times New Roman" w:hAnsi="宋体" w:cs="宋体"/>
          <w:sz w:val="24"/>
          <w:szCs w:val="24"/>
        </w:rPr>
        <w:t>）</w:t>
      </w:r>
    </w:p>
    <w:p>
      <w:pPr>
        <w:pStyle w:val="4"/>
        <w:snapToGrid w:val="0"/>
        <w:spacing w:before="0" w:after="0" w:line="240" w:lineRule="auto"/>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bookmarkEnd w:id="41"/>
    <w:bookmarkEnd w:id="42"/>
    <w:p>
      <w:pPr>
        <w:rPr>
          <w:rFonts w:hAnsi="宋体" w:cs="宋体"/>
          <w:sz w:val="30"/>
          <w:szCs w:val="30"/>
        </w:rPr>
      </w:pP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r>
      <w:pict>
        <v:rect id="_x0000_s2050" o:spid="_x0000_s2050" o:spt="1" style="position:absolute;left:0pt;margin-top:0pt;height:22.05pt;width:17.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&#1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r>
      <w:pict>
        <v:rect id="_x0000_s2051" o:spid="_x0000_s2051" o:spt="1" style="position:absolute;left:0pt;margin-top:0pt;height:22.05pt;width:17.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&#1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4140"/>
        <w:tab w:val="clear" w:pos="8300"/>
      </w:tabs>
      <w:rPr>
        <w:rFonts w:hAnsi="宋体"/>
      </w:rPr>
    </w:pPr>
    <w:r>
      <w:rPr>
        <w:rFonts w:hint="eastAsia" w:cs="宋体"/>
        <w:sz w:val="24"/>
        <w:szCs w:val="24"/>
      </w:rPr>
      <w:t>四川铁道职业学院庆祝建校70周年庆典大会、主题晚会舞美制作</w:t>
    </w:r>
    <w:r>
      <w:rPr>
        <w:rFonts w:hint="eastAsia" w:cs="宋体"/>
        <w:sz w:val="24"/>
        <w:szCs w:val="24"/>
        <w:lang w:val="en-US" w:eastAsia="zh-CN"/>
      </w:rPr>
      <w:t>第2次</w:t>
    </w:r>
    <w:r>
      <w:rPr>
        <w:rFonts w:hint="eastAsia" w:hAnsi="宋体"/>
      </w:rPr>
      <w:t>－</w:t>
    </w:r>
    <w:r>
      <w:rPr>
        <w:rFonts w:hint="eastAsia" w:cs="宋体"/>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2">
    <w:nsid w:val="00000002"/>
    <w:multiLevelType w:val="multilevel"/>
    <w:tmpl w:val="00000002"/>
    <w:lvl w:ilvl="0" w:tentative="0">
      <w:start w:val="5"/>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HorizontalSpacing w:val="0"/>
  <w:drawingGridVerticalSpacing w:val="237"/>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MwNmI4ODVkOTI4MDU0N2JlOTE4OWZjNjc2YmI3OWQifQ=="/>
  </w:docVars>
  <w:rsids>
    <w:rsidRoot w:val="00172A27"/>
    <w:rsid w:val="0000130C"/>
    <w:rsid w:val="0001189E"/>
    <w:rsid w:val="00013F1F"/>
    <w:rsid w:val="00020591"/>
    <w:rsid w:val="00022579"/>
    <w:rsid w:val="000227F3"/>
    <w:rsid w:val="000269B0"/>
    <w:rsid w:val="000300FA"/>
    <w:rsid w:val="00034E6A"/>
    <w:rsid w:val="00037883"/>
    <w:rsid w:val="000414D3"/>
    <w:rsid w:val="00062B97"/>
    <w:rsid w:val="00074602"/>
    <w:rsid w:val="00083A44"/>
    <w:rsid w:val="000921E3"/>
    <w:rsid w:val="000955D2"/>
    <w:rsid w:val="0009565C"/>
    <w:rsid w:val="000A1BAE"/>
    <w:rsid w:val="000B2D46"/>
    <w:rsid w:val="000C3891"/>
    <w:rsid w:val="000D3C29"/>
    <w:rsid w:val="000E3A51"/>
    <w:rsid w:val="000F0B31"/>
    <w:rsid w:val="00104D52"/>
    <w:rsid w:val="00115F7B"/>
    <w:rsid w:val="0011612A"/>
    <w:rsid w:val="00121C1E"/>
    <w:rsid w:val="001269FA"/>
    <w:rsid w:val="001346DB"/>
    <w:rsid w:val="00142405"/>
    <w:rsid w:val="001433DB"/>
    <w:rsid w:val="0014556F"/>
    <w:rsid w:val="00157635"/>
    <w:rsid w:val="00165039"/>
    <w:rsid w:val="00172A27"/>
    <w:rsid w:val="00181E14"/>
    <w:rsid w:val="00185388"/>
    <w:rsid w:val="001943F1"/>
    <w:rsid w:val="001A1EDF"/>
    <w:rsid w:val="001A3304"/>
    <w:rsid w:val="001A6061"/>
    <w:rsid w:val="001C4C5D"/>
    <w:rsid w:val="001E077D"/>
    <w:rsid w:val="001F7450"/>
    <w:rsid w:val="0021094F"/>
    <w:rsid w:val="002114B9"/>
    <w:rsid w:val="0021517F"/>
    <w:rsid w:val="00215D24"/>
    <w:rsid w:val="002226B5"/>
    <w:rsid w:val="00231CEA"/>
    <w:rsid w:val="00242F03"/>
    <w:rsid w:val="00252539"/>
    <w:rsid w:val="002619F7"/>
    <w:rsid w:val="002740EE"/>
    <w:rsid w:val="002802D2"/>
    <w:rsid w:val="002932A5"/>
    <w:rsid w:val="002945D4"/>
    <w:rsid w:val="00297578"/>
    <w:rsid w:val="002A6490"/>
    <w:rsid w:val="002F3A9D"/>
    <w:rsid w:val="00302533"/>
    <w:rsid w:val="00303BEC"/>
    <w:rsid w:val="0031337F"/>
    <w:rsid w:val="00314D2B"/>
    <w:rsid w:val="00315BFD"/>
    <w:rsid w:val="00330AB4"/>
    <w:rsid w:val="003426C9"/>
    <w:rsid w:val="0034384C"/>
    <w:rsid w:val="00351B66"/>
    <w:rsid w:val="00374997"/>
    <w:rsid w:val="00376338"/>
    <w:rsid w:val="0038282C"/>
    <w:rsid w:val="003C2094"/>
    <w:rsid w:val="003C49AF"/>
    <w:rsid w:val="003D00DA"/>
    <w:rsid w:val="003D099F"/>
    <w:rsid w:val="003D0C6C"/>
    <w:rsid w:val="003D11A5"/>
    <w:rsid w:val="003D4974"/>
    <w:rsid w:val="003D6934"/>
    <w:rsid w:val="003E1BF9"/>
    <w:rsid w:val="003F46DA"/>
    <w:rsid w:val="0040317E"/>
    <w:rsid w:val="0041087A"/>
    <w:rsid w:val="00412E90"/>
    <w:rsid w:val="00417390"/>
    <w:rsid w:val="00423D03"/>
    <w:rsid w:val="004250DD"/>
    <w:rsid w:val="004368FD"/>
    <w:rsid w:val="00450DBA"/>
    <w:rsid w:val="00451066"/>
    <w:rsid w:val="0046280F"/>
    <w:rsid w:val="00476826"/>
    <w:rsid w:val="00477BEA"/>
    <w:rsid w:val="00484F83"/>
    <w:rsid w:val="004856D2"/>
    <w:rsid w:val="004931B6"/>
    <w:rsid w:val="004977BD"/>
    <w:rsid w:val="004A0487"/>
    <w:rsid w:val="004A550E"/>
    <w:rsid w:val="004A58BA"/>
    <w:rsid w:val="004B0DBB"/>
    <w:rsid w:val="004B6322"/>
    <w:rsid w:val="004D0C88"/>
    <w:rsid w:val="004D7121"/>
    <w:rsid w:val="004E54D8"/>
    <w:rsid w:val="004F0192"/>
    <w:rsid w:val="004F3B9B"/>
    <w:rsid w:val="004F5512"/>
    <w:rsid w:val="004F5FA5"/>
    <w:rsid w:val="004F718A"/>
    <w:rsid w:val="00510855"/>
    <w:rsid w:val="0051463D"/>
    <w:rsid w:val="00515221"/>
    <w:rsid w:val="00523D5E"/>
    <w:rsid w:val="00526EF1"/>
    <w:rsid w:val="00551968"/>
    <w:rsid w:val="005523F9"/>
    <w:rsid w:val="00565D29"/>
    <w:rsid w:val="0057392A"/>
    <w:rsid w:val="0057670A"/>
    <w:rsid w:val="0058164F"/>
    <w:rsid w:val="00581EB4"/>
    <w:rsid w:val="00587168"/>
    <w:rsid w:val="00593373"/>
    <w:rsid w:val="005A011C"/>
    <w:rsid w:val="005A1491"/>
    <w:rsid w:val="005A3C0B"/>
    <w:rsid w:val="005C0690"/>
    <w:rsid w:val="005D660E"/>
    <w:rsid w:val="005D745A"/>
    <w:rsid w:val="005D76BC"/>
    <w:rsid w:val="005F3651"/>
    <w:rsid w:val="005F540E"/>
    <w:rsid w:val="005F6D20"/>
    <w:rsid w:val="006076D0"/>
    <w:rsid w:val="00625FDA"/>
    <w:rsid w:val="00644EF2"/>
    <w:rsid w:val="0064548D"/>
    <w:rsid w:val="006555DB"/>
    <w:rsid w:val="006666AF"/>
    <w:rsid w:val="0068224E"/>
    <w:rsid w:val="006915B9"/>
    <w:rsid w:val="00691FBB"/>
    <w:rsid w:val="00694B7F"/>
    <w:rsid w:val="006A04FB"/>
    <w:rsid w:val="006B3B23"/>
    <w:rsid w:val="006B634A"/>
    <w:rsid w:val="006B64B2"/>
    <w:rsid w:val="006C59D1"/>
    <w:rsid w:val="006C7451"/>
    <w:rsid w:val="006E3DDB"/>
    <w:rsid w:val="006F06EF"/>
    <w:rsid w:val="006F4716"/>
    <w:rsid w:val="006F5107"/>
    <w:rsid w:val="00722B66"/>
    <w:rsid w:val="00731735"/>
    <w:rsid w:val="00735742"/>
    <w:rsid w:val="00737A85"/>
    <w:rsid w:val="00740C17"/>
    <w:rsid w:val="007432C8"/>
    <w:rsid w:val="0075128B"/>
    <w:rsid w:val="00764FE2"/>
    <w:rsid w:val="0076501E"/>
    <w:rsid w:val="00767976"/>
    <w:rsid w:val="00771D10"/>
    <w:rsid w:val="00783D24"/>
    <w:rsid w:val="00786217"/>
    <w:rsid w:val="007956B7"/>
    <w:rsid w:val="007D1094"/>
    <w:rsid w:val="007D60BE"/>
    <w:rsid w:val="007E19BA"/>
    <w:rsid w:val="007E3542"/>
    <w:rsid w:val="007F62D2"/>
    <w:rsid w:val="0080260B"/>
    <w:rsid w:val="00810AA2"/>
    <w:rsid w:val="00815FBB"/>
    <w:rsid w:val="00823CD6"/>
    <w:rsid w:val="00832342"/>
    <w:rsid w:val="008351A2"/>
    <w:rsid w:val="008465E2"/>
    <w:rsid w:val="00850AE8"/>
    <w:rsid w:val="0085182D"/>
    <w:rsid w:val="00852219"/>
    <w:rsid w:val="00854B0E"/>
    <w:rsid w:val="00861B35"/>
    <w:rsid w:val="00861D35"/>
    <w:rsid w:val="008705D4"/>
    <w:rsid w:val="008721DC"/>
    <w:rsid w:val="00873D15"/>
    <w:rsid w:val="00875F07"/>
    <w:rsid w:val="008826E8"/>
    <w:rsid w:val="008A3275"/>
    <w:rsid w:val="008A372A"/>
    <w:rsid w:val="008A775B"/>
    <w:rsid w:val="008B3F4F"/>
    <w:rsid w:val="008B6A28"/>
    <w:rsid w:val="008C4C5D"/>
    <w:rsid w:val="008D4B57"/>
    <w:rsid w:val="008E283A"/>
    <w:rsid w:val="008F1768"/>
    <w:rsid w:val="008F483A"/>
    <w:rsid w:val="008F5D03"/>
    <w:rsid w:val="00900A6F"/>
    <w:rsid w:val="009034B6"/>
    <w:rsid w:val="00907738"/>
    <w:rsid w:val="009123FA"/>
    <w:rsid w:val="009160D2"/>
    <w:rsid w:val="00916D1E"/>
    <w:rsid w:val="00927129"/>
    <w:rsid w:val="0093288F"/>
    <w:rsid w:val="00935B90"/>
    <w:rsid w:val="009409EF"/>
    <w:rsid w:val="009518CD"/>
    <w:rsid w:val="00953907"/>
    <w:rsid w:val="009541A1"/>
    <w:rsid w:val="00956AE4"/>
    <w:rsid w:val="0096074E"/>
    <w:rsid w:val="00964782"/>
    <w:rsid w:val="00983489"/>
    <w:rsid w:val="0098435D"/>
    <w:rsid w:val="00984C6A"/>
    <w:rsid w:val="0099747D"/>
    <w:rsid w:val="009976EE"/>
    <w:rsid w:val="009A21CB"/>
    <w:rsid w:val="009B7EC9"/>
    <w:rsid w:val="009D1F47"/>
    <w:rsid w:val="009D23DB"/>
    <w:rsid w:val="009D4EE9"/>
    <w:rsid w:val="009F639B"/>
    <w:rsid w:val="00A01529"/>
    <w:rsid w:val="00A0208D"/>
    <w:rsid w:val="00A03414"/>
    <w:rsid w:val="00A075C3"/>
    <w:rsid w:val="00A11CF0"/>
    <w:rsid w:val="00A13D90"/>
    <w:rsid w:val="00A14D81"/>
    <w:rsid w:val="00A2152A"/>
    <w:rsid w:val="00A23C2C"/>
    <w:rsid w:val="00A26126"/>
    <w:rsid w:val="00A27709"/>
    <w:rsid w:val="00A415A9"/>
    <w:rsid w:val="00A57A27"/>
    <w:rsid w:val="00A62532"/>
    <w:rsid w:val="00A673C6"/>
    <w:rsid w:val="00A7009A"/>
    <w:rsid w:val="00A92172"/>
    <w:rsid w:val="00A9666E"/>
    <w:rsid w:val="00AA1D32"/>
    <w:rsid w:val="00AA4D3C"/>
    <w:rsid w:val="00AA4F6C"/>
    <w:rsid w:val="00AE0E42"/>
    <w:rsid w:val="00AE5591"/>
    <w:rsid w:val="00B10AC3"/>
    <w:rsid w:val="00B13B78"/>
    <w:rsid w:val="00B150F9"/>
    <w:rsid w:val="00B22D39"/>
    <w:rsid w:val="00B35C4C"/>
    <w:rsid w:val="00B52A09"/>
    <w:rsid w:val="00B634A6"/>
    <w:rsid w:val="00B92137"/>
    <w:rsid w:val="00BA04EB"/>
    <w:rsid w:val="00BA1E3F"/>
    <w:rsid w:val="00BA7A4D"/>
    <w:rsid w:val="00BD1080"/>
    <w:rsid w:val="00BD2B90"/>
    <w:rsid w:val="00BE0CDD"/>
    <w:rsid w:val="00BE3EDE"/>
    <w:rsid w:val="00BF5C97"/>
    <w:rsid w:val="00BF6F90"/>
    <w:rsid w:val="00C10464"/>
    <w:rsid w:val="00C11284"/>
    <w:rsid w:val="00C132F6"/>
    <w:rsid w:val="00C15F61"/>
    <w:rsid w:val="00C16CAE"/>
    <w:rsid w:val="00C3181D"/>
    <w:rsid w:val="00C50C93"/>
    <w:rsid w:val="00C52250"/>
    <w:rsid w:val="00C54697"/>
    <w:rsid w:val="00C70180"/>
    <w:rsid w:val="00C821FD"/>
    <w:rsid w:val="00C82454"/>
    <w:rsid w:val="00C82BBB"/>
    <w:rsid w:val="00C8568F"/>
    <w:rsid w:val="00C91CB7"/>
    <w:rsid w:val="00C93064"/>
    <w:rsid w:val="00CA64F2"/>
    <w:rsid w:val="00CB1E2C"/>
    <w:rsid w:val="00CB78BD"/>
    <w:rsid w:val="00CB7B63"/>
    <w:rsid w:val="00CC0A77"/>
    <w:rsid w:val="00CC5987"/>
    <w:rsid w:val="00CC6ED4"/>
    <w:rsid w:val="00CD004D"/>
    <w:rsid w:val="00CD4587"/>
    <w:rsid w:val="00CE5482"/>
    <w:rsid w:val="00D16CDE"/>
    <w:rsid w:val="00D21818"/>
    <w:rsid w:val="00D21B10"/>
    <w:rsid w:val="00D33839"/>
    <w:rsid w:val="00D40A36"/>
    <w:rsid w:val="00D40F38"/>
    <w:rsid w:val="00D60F7C"/>
    <w:rsid w:val="00D65F48"/>
    <w:rsid w:val="00D72148"/>
    <w:rsid w:val="00D82A0A"/>
    <w:rsid w:val="00D907DF"/>
    <w:rsid w:val="00D9414E"/>
    <w:rsid w:val="00DA21B8"/>
    <w:rsid w:val="00DB3C91"/>
    <w:rsid w:val="00DC0447"/>
    <w:rsid w:val="00DC4377"/>
    <w:rsid w:val="00DC4A4A"/>
    <w:rsid w:val="00DC6D26"/>
    <w:rsid w:val="00DD2646"/>
    <w:rsid w:val="00DD26EF"/>
    <w:rsid w:val="00DE0AD4"/>
    <w:rsid w:val="00DE1723"/>
    <w:rsid w:val="00DE1B68"/>
    <w:rsid w:val="00DE4625"/>
    <w:rsid w:val="00DE761B"/>
    <w:rsid w:val="00DF6E1E"/>
    <w:rsid w:val="00E26B6E"/>
    <w:rsid w:val="00E27570"/>
    <w:rsid w:val="00E44A52"/>
    <w:rsid w:val="00E56AF3"/>
    <w:rsid w:val="00E66D51"/>
    <w:rsid w:val="00E73B8A"/>
    <w:rsid w:val="00E742A7"/>
    <w:rsid w:val="00E76852"/>
    <w:rsid w:val="00E76CB5"/>
    <w:rsid w:val="00E77517"/>
    <w:rsid w:val="00E77F85"/>
    <w:rsid w:val="00E8706F"/>
    <w:rsid w:val="00EA3731"/>
    <w:rsid w:val="00EA6F1B"/>
    <w:rsid w:val="00EC14D2"/>
    <w:rsid w:val="00ED6EA0"/>
    <w:rsid w:val="00EE1B3C"/>
    <w:rsid w:val="00EF4DBE"/>
    <w:rsid w:val="00EF7675"/>
    <w:rsid w:val="00F31898"/>
    <w:rsid w:val="00F5237A"/>
    <w:rsid w:val="00F604E1"/>
    <w:rsid w:val="00F82A64"/>
    <w:rsid w:val="00F86B39"/>
    <w:rsid w:val="00FA0D6E"/>
    <w:rsid w:val="00FA3C95"/>
    <w:rsid w:val="00FC5B97"/>
    <w:rsid w:val="00FC5BDA"/>
    <w:rsid w:val="00FC6A75"/>
    <w:rsid w:val="00FD0A36"/>
    <w:rsid w:val="00FD2F96"/>
    <w:rsid w:val="00FE4893"/>
    <w:rsid w:val="00FF453E"/>
    <w:rsid w:val="00FF58B8"/>
    <w:rsid w:val="01181DD9"/>
    <w:rsid w:val="015B76C5"/>
    <w:rsid w:val="01630F53"/>
    <w:rsid w:val="016853DB"/>
    <w:rsid w:val="017C78FF"/>
    <w:rsid w:val="019C23B2"/>
    <w:rsid w:val="01A26E08"/>
    <w:rsid w:val="01B31FD7"/>
    <w:rsid w:val="01DA1E97"/>
    <w:rsid w:val="01E22B26"/>
    <w:rsid w:val="01E65CA9"/>
    <w:rsid w:val="01E96C2E"/>
    <w:rsid w:val="02335DA9"/>
    <w:rsid w:val="025340DF"/>
    <w:rsid w:val="02B15922"/>
    <w:rsid w:val="02BE378E"/>
    <w:rsid w:val="02DA64AD"/>
    <w:rsid w:val="03012F7E"/>
    <w:rsid w:val="03055CCB"/>
    <w:rsid w:val="030B000A"/>
    <w:rsid w:val="032A2ABD"/>
    <w:rsid w:val="032E14C4"/>
    <w:rsid w:val="03425F66"/>
    <w:rsid w:val="035A40AD"/>
    <w:rsid w:val="036A7B56"/>
    <w:rsid w:val="03731FB8"/>
    <w:rsid w:val="039446EB"/>
    <w:rsid w:val="039C537B"/>
    <w:rsid w:val="03A03D81"/>
    <w:rsid w:val="03B63E2A"/>
    <w:rsid w:val="03D332D6"/>
    <w:rsid w:val="03FC2E16"/>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137C73"/>
    <w:rsid w:val="05482E38"/>
    <w:rsid w:val="05665C6B"/>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AB6499"/>
    <w:rsid w:val="07BA06BE"/>
    <w:rsid w:val="07DE6533"/>
    <w:rsid w:val="07DF17F7"/>
    <w:rsid w:val="07FD0DA7"/>
    <w:rsid w:val="080055AF"/>
    <w:rsid w:val="080C13C2"/>
    <w:rsid w:val="082C435E"/>
    <w:rsid w:val="08380F8C"/>
    <w:rsid w:val="084D6DD4"/>
    <w:rsid w:val="084E78AD"/>
    <w:rsid w:val="085914C1"/>
    <w:rsid w:val="086552D4"/>
    <w:rsid w:val="086D0162"/>
    <w:rsid w:val="08747AEC"/>
    <w:rsid w:val="08822685"/>
    <w:rsid w:val="08870D0B"/>
    <w:rsid w:val="0887550A"/>
    <w:rsid w:val="08AB54F6"/>
    <w:rsid w:val="08BA49DD"/>
    <w:rsid w:val="08EC7733"/>
    <w:rsid w:val="092B1819"/>
    <w:rsid w:val="092E279E"/>
    <w:rsid w:val="09343398"/>
    <w:rsid w:val="093E2A38"/>
    <w:rsid w:val="0955045F"/>
    <w:rsid w:val="09580C0A"/>
    <w:rsid w:val="09F856EA"/>
    <w:rsid w:val="0A164C9A"/>
    <w:rsid w:val="0A3A19D7"/>
    <w:rsid w:val="0AD04A17"/>
    <w:rsid w:val="0AE465EC"/>
    <w:rsid w:val="0AF33383"/>
    <w:rsid w:val="0AF40E05"/>
    <w:rsid w:val="0AF8528D"/>
    <w:rsid w:val="0B0B0A2A"/>
    <w:rsid w:val="0B2631C5"/>
    <w:rsid w:val="0B8251F1"/>
    <w:rsid w:val="0BE85862"/>
    <w:rsid w:val="0C30660E"/>
    <w:rsid w:val="0C5A3BCF"/>
    <w:rsid w:val="0C5E25D5"/>
    <w:rsid w:val="0C9E14DE"/>
    <w:rsid w:val="0CA11F25"/>
    <w:rsid w:val="0CCB0A0B"/>
    <w:rsid w:val="0CFA01E0"/>
    <w:rsid w:val="0D06536D"/>
    <w:rsid w:val="0D1158FC"/>
    <w:rsid w:val="0D1A078A"/>
    <w:rsid w:val="0D1D7190"/>
    <w:rsid w:val="0D3835BD"/>
    <w:rsid w:val="0D8536BD"/>
    <w:rsid w:val="0DC44BFF"/>
    <w:rsid w:val="0DDE5050"/>
    <w:rsid w:val="0DEA0E63"/>
    <w:rsid w:val="0E317059"/>
    <w:rsid w:val="0E7D16D6"/>
    <w:rsid w:val="0E991F00"/>
    <w:rsid w:val="0E9D0906"/>
    <w:rsid w:val="0EA03F84"/>
    <w:rsid w:val="0EB4052B"/>
    <w:rsid w:val="0EBA5CB8"/>
    <w:rsid w:val="0EF21695"/>
    <w:rsid w:val="0F1550CD"/>
    <w:rsid w:val="0F2E087C"/>
    <w:rsid w:val="0F596ABB"/>
    <w:rsid w:val="0F5D0D44"/>
    <w:rsid w:val="0F6A005A"/>
    <w:rsid w:val="0F933964"/>
    <w:rsid w:val="0FB04F4B"/>
    <w:rsid w:val="0FCF7D7E"/>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B72AE"/>
    <w:rsid w:val="11AC3A8C"/>
    <w:rsid w:val="12255CD4"/>
    <w:rsid w:val="122E65E4"/>
    <w:rsid w:val="1252421A"/>
    <w:rsid w:val="128F7902"/>
    <w:rsid w:val="12AC1431"/>
    <w:rsid w:val="12F066A2"/>
    <w:rsid w:val="12F450A8"/>
    <w:rsid w:val="13045342"/>
    <w:rsid w:val="133D2F1E"/>
    <w:rsid w:val="13935EAB"/>
    <w:rsid w:val="13BD2572"/>
    <w:rsid w:val="13DB629F"/>
    <w:rsid w:val="14044EE5"/>
    <w:rsid w:val="142976A3"/>
    <w:rsid w:val="14580FCB"/>
    <w:rsid w:val="145B58F4"/>
    <w:rsid w:val="148876BD"/>
    <w:rsid w:val="149A4596"/>
    <w:rsid w:val="14A66C6D"/>
    <w:rsid w:val="14EC73E1"/>
    <w:rsid w:val="152A4CC8"/>
    <w:rsid w:val="15364BBA"/>
    <w:rsid w:val="156D0C34"/>
    <w:rsid w:val="15756040"/>
    <w:rsid w:val="15796287"/>
    <w:rsid w:val="15B83632"/>
    <w:rsid w:val="15BC67B5"/>
    <w:rsid w:val="15D72862"/>
    <w:rsid w:val="15E9057E"/>
    <w:rsid w:val="15EB3A81"/>
    <w:rsid w:val="15EB7304"/>
    <w:rsid w:val="15F1340C"/>
    <w:rsid w:val="16387403"/>
    <w:rsid w:val="166D588D"/>
    <w:rsid w:val="167539E5"/>
    <w:rsid w:val="1694429A"/>
    <w:rsid w:val="16C95754"/>
    <w:rsid w:val="172F6697"/>
    <w:rsid w:val="17332B1E"/>
    <w:rsid w:val="173A446A"/>
    <w:rsid w:val="17550AD5"/>
    <w:rsid w:val="175C045F"/>
    <w:rsid w:val="176B30C3"/>
    <w:rsid w:val="1780519C"/>
    <w:rsid w:val="1784532C"/>
    <w:rsid w:val="17A553DC"/>
    <w:rsid w:val="17B0376D"/>
    <w:rsid w:val="17C77B0F"/>
    <w:rsid w:val="17DC4231"/>
    <w:rsid w:val="17E838C7"/>
    <w:rsid w:val="18104A8B"/>
    <w:rsid w:val="18147F52"/>
    <w:rsid w:val="18322A41"/>
    <w:rsid w:val="185E6D88"/>
    <w:rsid w:val="186C3B20"/>
    <w:rsid w:val="18825CC3"/>
    <w:rsid w:val="18A90101"/>
    <w:rsid w:val="19024013"/>
    <w:rsid w:val="19044F98"/>
    <w:rsid w:val="1910462E"/>
    <w:rsid w:val="19316345"/>
    <w:rsid w:val="19360FEA"/>
    <w:rsid w:val="19451A88"/>
    <w:rsid w:val="196056B2"/>
    <w:rsid w:val="19782D58"/>
    <w:rsid w:val="19B02EB2"/>
    <w:rsid w:val="19B83B42"/>
    <w:rsid w:val="19D4436C"/>
    <w:rsid w:val="1A306C84"/>
    <w:rsid w:val="1A3E5E28"/>
    <w:rsid w:val="1A4B0B32"/>
    <w:rsid w:val="1A7267F4"/>
    <w:rsid w:val="1A811BDF"/>
    <w:rsid w:val="1A8E28A0"/>
    <w:rsid w:val="1AA56775"/>
    <w:rsid w:val="1AAE7552"/>
    <w:rsid w:val="1ADD2620"/>
    <w:rsid w:val="1AEB73B7"/>
    <w:rsid w:val="1AED613D"/>
    <w:rsid w:val="1B685A87"/>
    <w:rsid w:val="1B6C0C0A"/>
    <w:rsid w:val="1B6D668B"/>
    <w:rsid w:val="1B835BE0"/>
    <w:rsid w:val="1B933D1E"/>
    <w:rsid w:val="1BDB6CBF"/>
    <w:rsid w:val="1BE453D0"/>
    <w:rsid w:val="1BEE3761"/>
    <w:rsid w:val="1C091D8D"/>
    <w:rsid w:val="1C3E1334"/>
    <w:rsid w:val="1C7723C1"/>
    <w:rsid w:val="1C820752"/>
    <w:rsid w:val="1C993BFA"/>
    <w:rsid w:val="1CC41D1F"/>
    <w:rsid w:val="1CD714E1"/>
    <w:rsid w:val="1CDB5968"/>
    <w:rsid w:val="1CE56DF0"/>
    <w:rsid w:val="1CEA2747"/>
    <w:rsid w:val="1CF0217A"/>
    <w:rsid w:val="1D5133A9"/>
    <w:rsid w:val="1D5D3876"/>
    <w:rsid w:val="1D6F2FE0"/>
    <w:rsid w:val="1D722AE5"/>
    <w:rsid w:val="1D7B3732"/>
    <w:rsid w:val="1DBA1246"/>
    <w:rsid w:val="1E3D1A9F"/>
    <w:rsid w:val="1E5209CD"/>
    <w:rsid w:val="1E574E55"/>
    <w:rsid w:val="1E6366E9"/>
    <w:rsid w:val="1E711282"/>
    <w:rsid w:val="1E7A630E"/>
    <w:rsid w:val="1ED46DCB"/>
    <w:rsid w:val="1ED50FA6"/>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1207866"/>
    <w:rsid w:val="217C217E"/>
    <w:rsid w:val="21A223BE"/>
    <w:rsid w:val="21A3015D"/>
    <w:rsid w:val="21BC2F68"/>
    <w:rsid w:val="21D96C95"/>
    <w:rsid w:val="21DE0F1E"/>
    <w:rsid w:val="21E94D31"/>
    <w:rsid w:val="22004956"/>
    <w:rsid w:val="22077B64"/>
    <w:rsid w:val="223076A3"/>
    <w:rsid w:val="22445CAC"/>
    <w:rsid w:val="229009C2"/>
    <w:rsid w:val="230C2B7A"/>
    <w:rsid w:val="232C45F5"/>
    <w:rsid w:val="23574571"/>
    <w:rsid w:val="235C138F"/>
    <w:rsid w:val="23A52A88"/>
    <w:rsid w:val="23C478CF"/>
    <w:rsid w:val="23D93E78"/>
    <w:rsid w:val="23DB76DF"/>
    <w:rsid w:val="2431266C"/>
    <w:rsid w:val="245965D5"/>
    <w:rsid w:val="247B506A"/>
    <w:rsid w:val="24AE0D3C"/>
    <w:rsid w:val="251251DD"/>
    <w:rsid w:val="25267701"/>
    <w:rsid w:val="25392E9F"/>
    <w:rsid w:val="253B7A11"/>
    <w:rsid w:val="254060AD"/>
    <w:rsid w:val="25556F4C"/>
    <w:rsid w:val="25A14E4D"/>
    <w:rsid w:val="25BC3478"/>
    <w:rsid w:val="26066D6F"/>
    <w:rsid w:val="261C0F13"/>
    <w:rsid w:val="261E7C99"/>
    <w:rsid w:val="263465BA"/>
    <w:rsid w:val="26365340"/>
    <w:rsid w:val="26770328"/>
    <w:rsid w:val="268044BB"/>
    <w:rsid w:val="26842EC1"/>
    <w:rsid w:val="269363C3"/>
    <w:rsid w:val="26B149A9"/>
    <w:rsid w:val="26D12FC0"/>
    <w:rsid w:val="26E25459"/>
    <w:rsid w:val="26E32EDA"/>
    <w:rsid w:val="26FE3DD4"/>
    <w:rsid w:val="2701728E"/>
    <w:rsid w:val="272557B3"/>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70130A"/>
    <w:rsid w:val="29857C3C"/>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63CAF"/>
    <w:rsid w:val="2C0F0959"/>
    <w:rsid w:val="2C1A6CEA"/>
    <w:rsid w:val="2C202DF2"/>
    <w:rsid w:val="2C594D78"/>
    <w:rsid w:val="2C61165D"/>
    <w:rsid w:val="2C74067E"/>
    <w:rsid w:val="2C784B05"/>
    <w:rsid w:val="2C952DB1"/>
    <w:rsid w:val="2C9F1142"/>
    <w:rsid w:val="2CB126E1"/>
    <w:rsid w:val="2CB35BE4"/>
    <w:rsid w:val="2CB8206C"/>
    <w:rsid w:val="2CC1297B"/>
    <w:rsid w:val="2D121481"/>
    <w:rsid w:val="2D3D5B48"/>
    <w:rsid w:val="2D431C50"/>
    <w:rsid w:val="2D5A1875"/>
    <w:rsid w:val="2D5A7676"/>
    <w:rsid w:val="2D5C4D78"/>
    <w:rsid w:val="2D680B8A"/>
    <w:rsid w:val="2D6E0259"/>
    <w:rsid w:val="2D963C58"/>
    <w:rsid w:val="2DB3100A"/>
    <w:rsid w:val="2DB81C0E"/>
    <w:rsid w:val="2DC0289E"/>
    <w:rsid w:val="2E033291"/>
    <w:rsid w:val="2E246D3F"/>
    <w:rsid w:val="2E2C4978"/>
    <w:rsid w:val="2E316055"/>
    <w:rsid w:val="2E521E0D"/>
    <w:rsid w:val="2E5C265F"/>
    <w:rsid w:val="2E5D6548"/>
    <w:rsid w:val="2E870FE2"/>
    <w:rsid w:val="2EF67098"/>
    <w:rsid w:val="2F043E2F"/>
    <w:rsid w:val="2F31727D"/>
    <w:rsid w:val="2F5B483E"/>
    <w:rsid w:val="2FDE4E17"/>
    <w:rsid w:val="300A115E"/>
    <w:rsid w:val="301F08EA"/>
    <w:rsid w:val="303D7F63"/>
    <w:rsid w:val="306B5D4B"/>
    <w:rsid w:val="30711E07"/>
    <w:rsid w:val="30792A97"/>
    <w:rsid w:val="30817EA3"/>
    <w:rsid w:val="308952B0"/>
    <w:rsid w:val="308D3CB6"/>
    <w:rsid w:val="30A30058"/>
    <w:rsid w:val="30AC7C7A"/>
    <w:rsid w:val="30E80B4C"/>
    <w:rsid w:val="312B28BA"/>
    <w:rsid w:val="312F34BF"/>
    <w:rsid w:val="313C4D53"/>
    <w:rsid w:val="314C0871"/>
    <w:rsid w:val="31575E16"/>
    <w:rsid w:val="317503B0"/>
    <w:rsid w:val="319A2078"/>
    <w:rsid w:val="319D7376"/>
    <w:rsid w:val="31B02B14"/>
    <w:rsid w:val="320A1F29"/>
    <w:rsid w:val="320F2B2D"/>
    <w:rsid w:val="32106030"/>
    <w:rsid w:val="324D5E95"/>
    <w:rsid w:val="326D0948"/>
    <w:rsid w:val="329F430C"/>
    <w:rsid w:val="32CC1FE7"/>
    <w:rsid w:val="32D94927"/>
    <w:rsid w:val="32E95D13"/>
    <w:rsid w:val="336268C9"/>
    <w:rsid w:val="33701470"/>
    <w:rsid w:val="337558F7"/>
    <w:rsid w:val="33BB6CF3"/>
    <w:rsid w:val="33BE2874"/>
    <w:rsid w:val="33E85C36"/>
    <w:rsid w:val="33E97114"/>
    <w:rsid w:val="342966A0"/>
    <w:rsid w:val="342B1BA3"/>
    <w:rsid w:val="34475748"/>
    <w:rsid w:val="346A4F0B"/>
    <w:rsid w:val="346E7194"/>
    <w:rsid w:val="348801E5"/>
    <w:rsid w:val="349C184B"/>
    <w:rsid w:val="34A15065"/>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B0262F"/>
    <w:rsid w:val="37BE7480"/>
    <w:rsid w:val="37EA4BED"/>
    <w:rsid w:val="37F00FD4"/>
    <w:rsid w:val="38196915"/>
    <w:rsid w:val="381F62A0"/>
    <w:rsid w:val="38225026"/>
    <w:rsid w:val="38321B78"/>
    <w:rsid w:val="385122F2"/>
    <w:rsid w:val="385D1988"/>
    <w:rsid w:val="386A541B"/>
    <w:rsid w:val="38777FB4"/>
    <w:rsid w:val="387F1B3D"/>
    <w:rsid w:val="38822AC1"/>
    <w:rsid w:val="388572C9"/>
    <w:rsid w:val="38D73850"/>
    <w:rsid w:val="39093C9F"/>
    <w:rsid w:val="391E6B91"/>
    <w:rsid w:val="394E4794"/>
    <w:rsid w:val="39916502"/>
    <w:rsid w:val="39A62C24"/>
    <w:rsid w:val="39BC6E71"/>
    <w:rsid w:val="39ED5597"/>
    <w:rsid w:val="3A201269"/>
    <w:rsid w:val="3A22476C"/>
    <w:rsid w:val="3A5D0BDB"/>
    <w:rsid w:val="3A5F086E"/>
    <w:rsid w:val="3A883217"/>
    <w:rsid w:val="3A941228"/>
    <w:rsid w:val="3AC6527A"/>
    <w:rsid w:val="3B063AE5"/>
    <w:rsid w:val="3B0A1D81"/>
    <w:rsid w:val="3B251A37"/>
    <w:rsid w:val="3B806D64"/>
    <w:rsid w:val="3BB1414D"/>
    <w:rsid w:val="3BBF5492"/>
    <w:rsid w:val="3BED2ADE"/>
    <w:rsid w:val="3C045F86"/>
    <w:rsid w:val="3C0A7E90"/>
    <w:rsid w:val="3C2A4B41"/>
    <w:rsid w:val="3C317D4F"/>
    <w:rsid w:val="3C3E7065"/>
    <w:rsid w:val="3C62051E"/>
    <w:rsid w:val="3C9660A1"/>
    <w:rsid w:val="3CD54FDA"/>
    <w:rsid w:val="3CEE0102"/>
    <w:rsid w:val="3CFD619E"/>
    <w:rsid w:val="3D246E8B"/>
    <w:rsid w:val="3D313175"/>
    <w:rsid w:val="3D72615D"/>
    <w:rsid w:val="3D822D1E"/>
    <w:rsid w:val="3D8E5880"/>
    <w:rsid w:val="3DA87AD2"/>
    <w:rsid w:val="3DA962B7"/>
    <w:rsid w:val="3DDF0D0F"/>
    <w:rsid w:val="3DEE3528"/>
    <w:rsid w:val="3DF379B0"/>
    <w:rsid w:val="3DF52EB3"/>
    <w:rsid w:val="3DFD5D41"/>
    <w:rsid w:val="3E02262E"/>
    <w:rsid w:val="3E040F4F"/>
    <w:rsid w:val="3E667CEF"/>
    <w:rsid w:val="3E706080"/>
    <w:rsid w:val="3E900B33"/>
    <w:rsid w:val="3E9C23C7"/>
    <w:rsid w:val="3EAF5B65"/>
    <w:rsid w:val="3EEE694E"/>
    <w:rsid w:val="3F1012AA"/>
    <w:rsid w:val="3F1E169C"/>
    <w:rsid w:val="3F5301DE"/>
    <w:rsid w:val="3F5C2D71"/>
    <w:rsid w:val="3F7755AE"/>
    <w:rsid w:val="3F954B5E"/>
    <w:rsid w:val="3FBD249F"/>
    <w:rsid w:val="3FF461FC"/>
    <w:rsid w:val="3FF82684"/>
    <w:rsid w:val="40464981"/>
    <w:rsid w:val="40562A1D"/>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5B65EB"/>
    <w:rsid w:val="42C76F9F"/>
    <w:rsid w:val="42CC5625"/>
    <w:rsid w:val="42D2752E"/>
    <w:rsid w:val="43296B6C"/>
    <w:rsid w:val="436832A5"/>
    <w:rsid w:val="43C97374"/>
    <w:rsid w:val="43CE2645"/>
    <w:rsid w:val="43EC5A7C"/>
    <w:rsid w:val="44146C41"/>
    <w:rsid w:val="44524527"/>
    <w:rsid w:val="445F7FB9"/>
    <w:rsid w:val="446B2085"/>
    <w:rsid w:val="447E4FEB"/>
    <w:rsid w:val="448623F7"/>
    <w:rsid w:val="448C15B9"/>
    <w:rsid w:val="449B1E65"/>
    <w:rsid w:val="44D16FF4"/>
    <w:rsid w:val="44EA599F"/>
    <w:rsid w:val="45206C3C"/>
    <w:rsid w:val="45225AF9"/>
    <w:rsid w:val="456B24AD"/>
    <w:rsid w:val="456C5311"/>
    <w:rsid w:val="459F0946"/>
    <w:rsid w:val="45A324F9"/>
    <w:rsid w:val="45C75F46"/>
    <w:rsid w:val="45CA500D"/>
    <w:rsid w:val="45EF19CA"/>
    <w:rsid w:val="46117980"/>
    <w:rsid w:val="462640A2"/>
    <w:rsid w:val="462A632B"/>
    <w:rsid w:val="462E6F30"/>
    <w:rsid w:val="4679192E"/>
    <w:rsid w:val="468E7B13"/>
    <w:rsid w:val="46CA0433"/>
    <w:rsid w:val="46CE1038"/>
    <w:rsid w:val="46D77749"/>
    <w:rsid w:val="46F6477A"/>
    <w:rsid w:val="47064A15"/>
    <w:rsid w:val="47220AC2"/>
    <w:rsid w:val="472A5ECE"/>
    <w:rsid w:val="472F2356"/>
    <w:rsid w:val="47380A67"/>
    <w:rsid w:val="474B1C86"/>
    <w:rsid w:val="474E2C0B"/>
    <w:rsid w:val="47626028"/>
    <w:rsid w:val="47656FAD"/>
    <w:rsid w:val="47670FEE"/>
    <w:rsid w:val="47B76948"/>
    <w:rsid w:val="47B76DB7"/>
    <w:rsid w:val="47E0217A"/>
    <w:rsid w:val="47E64083"/>
    <w:rsid w:val="480B0A3F"/>
    <w:rsid w:val="486731C6"/>
    <w:rsid w:val="48775B70"/>
    <w:rsid w:val="487A2378"/>
    <w:rsid w:val="4891671A"/>
    <w:rsid w:val="48B05EC6"/>
    <w:rsid w:val="48F54240"/>
    <w:rsid w:val="48FE27EA"/>
    <w:rsid w:val="490152F9"/>
    <w:rsid w:val="49092EE1"/>
    <w:rsid w:val="4942653E"/>
    <w:rsid w:val="49512C42"/>
    <w:rsid w:val="4966327A"/>
    <w:rsid w:val="496C5184"/>
    <w:rsid w:val="497E7EEE"/>
    <w:rsid w:val="49963DC9"/>
    <w:rsid w:val="499D5953"/>
    <w:rsid w:val="49A330DF"/>
    <w:rsid w:val="49A91765"/>
    <w:rsid w:val="49AB3298"/>
    <w:rsid w:val="49C16E0C"/>
    <w:rsid w:val="4A152119"/>
    <w:rsid w:val="4A1C3CA2"/>
    <w:rsid w:val="4A5B32E8"/>
    <w:rsid w:val="4A7346B1"/>
    <w:rsid w:val="4A7843BC"/>
    <w:rsid w:val="4A8017C9"/>
    <w:rsid w:val="4A8E6560"/>
    <w:rsid w:val="4AC12232"/>
    <w:rsid w:val="4B1E4B4A"/>
    <w:rsid w:val="4B3734F6"/>
    <w:rsid w:val="4B383175"/>
    <w:rsid w:val="4B6F10D1"/>
    <w:rsid w:val="4BAA21AF"/>
    <w:rsid w:val="4BAB7C31"/>
    <w:rsid w:val="4C250016"/>
    <w:rsid w:val="4C5C7A55"/>
    <w:rsid w:val="4C8E3AA7"/>
    <w:rsid w:val="4CB14F60"/>
    <w:rsid w:val="4CB95DDF"/>
    <w:rsid w:val="4CBC6B75"/>
    <w:rsid w:val="4CBD45F6"/>
    <w:rsid w:val="4CCD4891"/>
    <w:rsid w:val="4CFA2DD6"/>
    <w:rsid w:val="4D0C4A13"/>
    <w:rsid w:val="4D490E08"/>
    <w:rsid w:val="4DC062CE"/>
    <w:rsid w:val="4DC34742"/>
    <w:rsid w:val="4DF30DF0"/>
    <w:rsid w:val="4DF420F5"/>
    <w:rsid w:val="4E001A1B"/>
    <w:rsid w:val="4E077A90"/>
    <w:rsid w:val="4E19322E"/>
    <w:rsid w:val="4E2F31D3"/>
    <w:rsid w:val="4E7A454C"/>
    <w:rsid w:val="4E914171"/>
    <w:rsid w:val="4EB621B3"/>
    <w:rsid w:val="4EBF34EE"/>
    <w:rsid w:val="4F01352B"/>
    <w:rsid w:val="4F124ACB"/>
    <w:rsid w:val="4F3A6B88"/>
    <w:rsid w:val="4F4D42D8"/>
    <w:rsid w:val="4F700845"/>
    <w:rsid w:val="4F9F2130"/>
    <w:rsid w:val="4FFD5B90"/>
    <w:rsid w:val="50651CDA"/>
    <w:rsid w:val="50DA6423"/>
    <w:rsid w:val="50E86BA6"/>
    <w:rsid w:val="5109751A"/>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406363"/>
    <w:rsid w:val="53614D5A"/>
    <w:rsid w:val="53DF5628"/>
    <w:rsid w:val="53F6304F"/>
    <w:rsid w:val="54103BF9"/>
    <w:rsid w:val="542776F4"/>
    <w:rsid w:val="544817D4"/>
    <w:rsid w:val="547F7730"/>
    <w:rsid w:val="548B5741"/>
    <w:rsid w:val="54C02717"/>
    <w:rsid w:val="54C620A2"/>
    <w:rsid w:val="54D21907"/>
    <w:rsid w:val="54E028C4"/>
    <w:rsid w:val="54FA15F8"/>
    <w:rsid w:val="54FF3501"/>
    <w:rsid w:val="550F159D"/>
    <w:rsid w:val="552B7848"/>
    <w:rsid w:val="55373232"/>
    <w:rsid w:val="55401D6C"/>
    <w:rsid w:val="55454EF7"/>
    <w:rsid w:val="555723A7"/>
    <w:rsid w:val="55857379"/>
    <w:rsid w:val="55867A33"/>
    <w:rsid w:val="55893465"/>
    <w:rsid w:val="55922A70"/>
    <w:rsid w:val="55C4510D"/>
    <w:rsid w:val="55CC73D2"/>
    <w:rsid w:val="55D53D83"/>
    <w:rsid w:val="56037691"/>
    <w:rsid w:val="5604532D"/>
    <w:rsid w:val="561577C6"/>
    <w:rsid w:val="561B4F52"/>
    <w:rsid w:val="56226ADC"/>
    <w:rsid w:val="56257A60"/>
    <w:rsid w:val="56424E12"/>
    <w:rsid w:val="56A26130"/>
    <w:rsid w:val="56E65920"/>
    <w:rsid w:val="570F768F"/>
    <w:rsid w:val="57152BEC"/>
    <w:rsid w:val="571E12FD"/>
    <w:rsid w:val="57271C0D"/>
    <w:rsid w:val="5735569F"/>
    <w:rsid w:val="573B502A"/>
    <w:rsid w:val="57472BEF"/>
    <w:rsid w:val="574A003F"/>
    <w:rsid w:val="574C0B47"/>
    <w:rsid w:val="57753F0A"/>
    <w:rsid w:val="577E261B"/>
    <w:rsid w:val="577E790E"/>
    <w:rsid w:val="57975744"/>
    <w:rsid w:val="579A66C8"/>
    <w:rsid w:val="57A046BB"/>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9D51750"/>
    <w:rsid w:val="59D5549D"/>
    <w:rsid w:val="5A0C4E48"/>
    <w:rsid w:val="5A47502D"/>
    <w:rsid w:val="5A5468C1"/>
    <w:rsid w:val="5A7D1C84"/>
    <w:rsid w:val="5A9A37B2"/>
    <w:rsid w:val="5A9E21B8"/>
    <w:rsid w:val="5AB630E2"/>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576F8B"/>
    <w:rsid w:val="5C7774C0"/>
    <w:rsid w:val="5CD37BDA"/>
    <w:rsid w:val="5CD4565B"/>
    <w:rsid w:val="5CEA77FF"/>
    <w:rsid w:val="5D1E0F52"/>
    <w:rsid w:val="5D273DE0"/>
    <w:rsid w:val="5D2B27E7"/>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E541F4"/>
    <w:rsid w:val="640D40B4"/>
    <w:rsid w:val="641B0E4B"/>
    <w:rsid w:val="641E665D"/>
    <w:rsid w:val="642052D3"/>
    <w:rsid w:val="643C1380"/>
    <w:rsid w:val="64403609"/>
    <w:rsid w:val="644E4597"/>
    <w:rsid w:val="646D6AED"/>
    <w:rsid w:val="64A4332E"/>
    <w:rsid w:val="64A864B1"/>
    <w:rsid w:val="64EF46A6"/>
    <w:rsid w:val="65083052"/>
    <w:rsid w:val="650C465E"/>
    <w:rsid w:val="651954EB"/>
    <w:rsid w:val="654C6FBE"/>
    <w:rsid w:val="656E29F6"/>
    <w:rsid w:val="65A2414A"/>
    <w:rsid w:val="65CA788D"/>
    <w:rsid w:val="65E14D38"/>
    <w:rsid w:val="65E579AD"/>
    <w:rsid w:val="66025468"/>
    <w:rsid w:val="660563ED"/>
    <w:rsid w:val="661F4D98"/>
    <w:rsid w:val="662B4F9A"/>
    <w:rsid w:val="66360241"/>
    <w:rsid w:val="667808A5"/>
    <w:rsid w:val="66A96EFB"/>
    <w:rsid w:val="66C52FA8"/>
    <w:rsid w:val="66CF7E12"/>
    <w:rsid w:val="66DB514B"/>
    <w:rsid w:val="66E75E27"/>
    <w:rsid w:val="67092797"/>
    <w:rsid w:val="67184FB0"/>
    <w:rsid w:val="67673E36"/>
    <w:rsid w:val="6767412F"/>
    <w:rsid w:val="67A7359A"/>
    <w:rsid w:val="67C32ECB"/>
    <w:rsid w:val="67C718D1"/>
    <w:rsid w:val="67E36C7A"/>
    <w:rsid w:val="680726BA"/>
    <w:rsid w:val="68213264"/>
    <w:rsid w:val="682A438F"/>
    <w:rsid w:val="68344483"/>
    <w:rsid w:val="68503DB3"/>
    <w:rsid w:val="68624F20"/>
    <w:rsid w:val="6870183D"/>
    <w:rsid w:val="68A2033A"/>
    <w:rsid w:val="68C504EF"/>
    <w:rsid w:val="69010354"/>
    <w:rsid w:val="69033857"/>
    <w:rsid w:val="69111530"/>
    <w:rsid w:val="691E5706"/>
    <w:rsid w:val="6923630A"/>
    <w:rsid w:val="69711CCD"/>
    <w:rsid w:val="69A27EDD"/>
    <w:rsid w:val="69AD29EB"/>
    <w:rsid w:val="69B82081"/>
    <w:rsid w:val="69CA3620"/>
    <w:rsid w:val="69CA7D9D"/>
    <w:rsid w:val="6A0568FD"/>
    <w:rsid w:val="6A1D1DA5"/>
    <w:rsid w:val="6A2D21C3"/>
    <w:rsid w:val="6A5E280F"/>
    <w:rsid w:val="6A7214AF"/>
    <w:rsid w:val="6A9E35F8"/>
    <w:rsid w:val="6B3602F4"/>
    <w:rsid w:val="6B422321"/>
    <w:rsid w:val="6B546447"/>
    <w:rsid w:val="6B6E7213"/>
    <w:rsid w:val="6B7226D7"/>
    <w:rsid w:val="6B914D8D"/>
    <w:rsid w:val="6BA01F21"/>
    <w:rsid w:val="6BD15F74"/>
    <w:rsid w:val="6BD623FB"/>
    <w:rsid w:val="6BFD03E4"/>
    <w:rsid w:val="6C2F4AF2"/>
    <w:rsid w:val="6C313A0F"/>
    <w:rsid w:val="6C416227"/>
    <w:rsid w:val="6C5703CB"/>
    <w:rsid w:val="6C5E57D7"/>
    <w:rsid w:val="6C6D7436"/>
    <w:rsid w:val="6C891E9F"/>
    <w:rsid w:val="6CC805B2"/>
    <w:rsid w:val="6CCC5E0B"/>
    <w:rsid w:val="6CF724D3"/>
    <w:rsid w:val="6D121871"/>
    <w:rsid w:val="6D1B140E"/>
    <w:rsid w:val="6D2D712A"/>
    <w:rsid w:val="6D6A2812"/>
    <w:rsid w:val="6D6F0E98"/>
    <w:rsid w:val="6D813038"/>
    <w:rsid w:val="6D947740"/>
    <w:rsid w:val="6DA11102"/>
    <w:rsid w:val="6DBB3515"/>
    <w:rsid w:val="6DC30922"/>
    <w:rsid w:val="6DEC1AE6"/>
    <w:rsid w:val="6EB56FB1"/>
    <w:rsid w:val="6F085736"/>
    <w:rsid w:val="6F2F55F5"/>
    <w:rsid w:val="6F306560"/>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C233B0"/>
    <w:rsid w:val="71D545CF"/>
    <w:rsid w:val="71F21981"/>
    <w:rsid w:val="71FB480F"/>
    <w:rsid w:val="722A1ADB"/>
    <w:rsid w:val="7247158B"/>
    <w:rsid w:val="726254B8"/>
    <w:rsid w:val="72BA00C5"/>
    <w:rsid w:val="72BB4E08"/>
    <w:rsid w:val="72BE485C"/>
    <w:rsid w:val="72FF663B"/>
    <w:rsid w:val="730541A5"/>
    <w:rsid w:val="73231CF3"/>
    <w:rsid w:val="736D6C6F"/>
    <w:rsid w:val="738E13A2"/>
    <w:rsid w:val="73A722CC"/>
    <w:rsid w:val="73CC6C88"/>
    <w:rsid w:val="7427609D"/>
    <w:rsid w:val="74563369"/>
    <w:rsid w:val="74680181"/>
    <w:rsid w:val="7499095B"/>
    <w:rsid w:val="74B31BEE"/>
    <w:rsid w:val="74EA165E"/>
    <w:rsid w:val="75117320"/>
    <w:rsid w:val="751C56B1"/>
    <w:rsid w:val="75234649"/>
    <w:rsid w:val="75557901"/>
    <w:rsid w:val="75E43E1F"/>
    <w:rsid w:val="76016C28"/>
    <w:rsid w:val="76043E58"/>
    <w:rsid w:val="76070B31"/>
    <w:rsid w:val="76587637"/>
    <w:rsid w:val="765F4A43"/>
    <w:rsid w:val="76756BE7"/>
    <w:rsid w:val="768B0D8B"/>
    <w:rsid w:val="768D5C0B"/>
    <w:rsid w:val="76A07A2B"/>
    <w:rsid w:val="76B0048A"/>
    <w:rsid w:val="76F04D5F"/>
    <w:rsid w:val="77276A0B"/>
    <w:rsid w:val="77311518"/>
    <w:rsid w:val="777E4E9B"/>
    <w:rsid w:val="77D67AA8"/>
    <w:rsid w:val="77FE53E9"/>
    <w:rsid w:val="78393716"/>
    <w:rsid w:val="7843265A"/>
    <w:rsid w:val="78913A5E"/>
    <w:rsid w:val="79147BBC"/>
    <w:rsid w:val="791F0D44"/>
    <w:rsid w:val="7924080B"/>
    <w:rsid w:val="792A70D5"/>
    <w:rsid w:val="796A639A"/>
    <w:rsid w:val="7970564B"/>
    <w:rsid w:val="799022FC"/>
    <w:rsid w:val="79980C33"/>
    <w:rsid w:val="79A044B0"/>
    <w:rsid w:val="79B85A3F"/>
    <w:rsid w:val="79EA35FD"/>
    <w:rsid w:val="7A03263B"/>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A7E9F"/>
    <w:rsid w:val="7B3769CC"/>
    <w:rsid w:val="7B3A013A"/>
    <w:rsid w:val="7BDD4DDA"/>
    <w:rsid w:val="7BEC215B"/>
    <w:rsid w:val="7C476FF2"/>
    <w:rsid w:val="7C5C5C93"/>
    <w:rsid w:val="7C9D7D81"/>
    <w:rsid w:val="7CAB4533"/>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53449B"/>
    <w:rsid w:val="7E6263E8"/>
    <w:rsid w:val="7E765088"/>
    <w:rsid w:val="7E8C15C8"/>
    <w:rsid w:val="7E987174"/>
    <w:rsid w:val="7EAF2C64"/>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6">
    <w:name w:val="heading 3"/>
    <w:basedOn w:val="1"/>
    <w:next w:val="1"/>
    <w:qFormat/>
    <w:uiPriority w:val="0"/>
    <w:pPr>
      <w:keepNext/>
      <w:keepLines/>
      <w:spacing w:before="260" w:after="260" w:line="415" w:lineRule="auto"/>
      <w:outlineLvl w:val="2"/>
    </w:pPr>
    <w:rPr>
      <w:b/>
      <w:sz w:val="32"/>
      <w:szCs w:val="3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Normal Indent"/>
    <w:basedOn w:val="1"/>
    <w:link w:val="33"/>
    <w:qFormat/>
    <w:uiPriority w:val="0"/>
    <w:pPr>
      <w:ind w:firstLine="420" w:firstLineChars="200"/>
    </w:pPr>
    <w:rPr>
      <w:rFonts w:ascii="Times New Roman"/>
      <w:kern w:val="2"/>
      <w:sz w:val="21"/>
      <w:szCs w:val="24"/>
    </w:rPr>
  </w:style>
  <w:style w:type="paragraph" w:styleId="8">
    <w:name w:val="annotation text"/>
    <w:basedOn w:val="1"/>
    <w:qFormat/>
    <w:uiPriority w:val="0"/>
    <w:pPr>
      <w:jc w:val="left"/>
    </w:pPr>
    <w:rPr>
      <w:rFonts w:ascii="Times New Roman"/>
    </w:rPr>
  </w:style>
  <w:style w:type="paragraph" w:styleId="9">
    <w:name w:val="Body Text"/>
    <w:basedOn w:val="1"/>
    <w:next w:val="1"/>
    <w:qFormat/>
    <w:uiPriority w:val="0"/>
    <w:pPr>
      <w:spacing w:after="120"/>
    </w:pPr>
    <w:rPr>
      <w:rFonts w:ascii="Times New Roman"/>
    </w:rPr>
  </w:style>
  <w:style w:type="paragraph" w:styleId="10">
    <w:name w:val="Body Text Indent"/>
    <w:basedOn w:val="1"/>
    <w:link w:val="41"/>
    <w:qFormat/>
    <w:uiPriority w:val="0"/>
    <w:pPr>
      <w:ind w:firstLine="630"/>
    </w:pPr>
    <w:rPr>
      <w:rFonts w:ascii="Times New Roman"/>
      <w:kern w:val="2"/>
      <w:sz w:val="32"/>
    </w:rPr>
  </w:style>
  <w:style w:type="paragraph" w:styleId="11">
    <w:name w:val="Plain Text"/>
    <w:basedOn w:val="1"/>
    <w:link w:val="50"/>
    <w:qFormat/>
    <w:uiPriority w:val="0"/>
    <w:rPr>
      <w:rFonts w:hAnsi="Courier New"/>
      <w:kern w:val="2"/>
      <w:sz w:val="21"/>
    </w:rPr>
  </w:style>
  <w:style w:type="paragraph" w:styleId="12">
    <w:name w:val="Body Text Indent 2"/>
    <w:basedOn w:val="1"/>
    <w:qFormat/>
    <w:uiPriority w:val="0"/>
    <w:pPr>
      <w:ind w:firstLine="630"/>
    </w:pPr>
    <w:rPr>
      <w:sz w:val="32"/>
      <w:szCs w:val="32"/>
    </w:rPr>
  </w:style>
  <w:style w:type="paragraph" w:styleId="13">
    <w:name w:val="Balloon Text"/>
    <w:basedOn w:val="1"/>
    <w:qFormat/>
    <w:uiPriority w:val="0"/>
    <w:rPr>
      <w:rFonts w:ascii="Times New Roman"/>
      <w:sz w:val="18"/>
      <w:szCs w:val="18"/>
    </w:rPr>
  </w:style>
  <w:style w:type="paragraph" w:styleId="14">
    <w:name w:val="footer"/>
    <w:basedOn w:val="1"/>
    <w:qFormat/>
    <w:uiPriority w:val="0"/>
    <w:pPr>
      <w:tabs>
        <w:tab w:val="center" w:pos="4140"/>
        <w:tab w:val="right" w:pos="8300"/>
      </w:tabs>
      <w:jc w:val="left"/>
    </w:pPr>
    <w:rPr>
      <w:sz w:val="18"/>
      <w:szCs w:val="18"/>
    </w:rPr>
  </w:style>
  <w:style w:type="paragraph" w:styleId="15">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6">
    <w:name w:val="toc 1"/>
    <w:basedOn w:val="1"/>
    <w:next w:val="1"/>
    <w:qFormat/>
    <w:uiPriority w:val="0"/>
  </w:style>
  <w:style w:type="paragraph" w:styleId="17">
    <w:name w:val="Subtitle"/>
    <w:basedOn w:val="1"/>
    <w:next w:val="1"/>
    <w:qFormat/>
    <w:uiPriority w:val="11"/>
    <w:pPr>
      <w:spacing w:before="240" w:after="60" w:line="312" w:lineRule="auto"/>
      <w:jc w:val="center"/>
      <w:outlineLvl w:val="1"/>
    </w:pPr>
    <w:rPr>
      <w:rFonts w:ascii="Calibri Light" w:hAnsi="Calibri Light"/>
      <w:b/>
      <w:bCs/>
      <w:kern w:val="28"/>
      <w:sz w:val="32"/>
      <w:szCs w:val="32"/>
    </w:rPr>
  </w:style>
  <w:style w:type="paragraph" w:styleId="18">
    <w:name w:val="Body Text Indent 3"/>
    <w:basedOn w:val="1"/>
    <w:qFormat/>
    <w:uiPriority w:val="0"/>
    <w:pPr>
      <w:spacing w:after="120"/>
      <w:ind w:left="420" w:leftChars="200"/>
    </w:pPr>
    <w:rPr>
      <w:rFonts w:ascii="Times New Roman"/>
      <w:sz w:val="16"/>
      <w:szCs w:val="16"/>
    </w:rPr>
  </w:style>
  <w:style w:type="paragraph" w:styleId="19">
    <w:name w:val="toc 2"/>
    <w:basedOn w:val="1"/>
    <w:next w:val="1"/>
    <w:qFormat/>
    <w:uiPriority w:val="0"/>
    <w:pPr>
      <w:ind w:left="420" w:leftChars="200"/>
    </w:pPr>
    <w:rPr>
      <w:rFonts w:ascii="Times New Roman"/>
    </w:rPr>
  </w:style>
  <w:style w:type="paragraph" w:styleId="20">
    <w:name w:val="Body Text 2"/>
    <w:basedOn w:val="1"/>
    <w:qFormat/>
    <w:uiPriority w:val="0"/>
    <w:pPr>
      <w:spacing w:line="480" w:lineRule="auto"/>
    </w:pPr>
    <w:rPr>
      <w:rFonts w:ascii="Times New Roman"/>
    </w:rPr>
  </w:style>
  <w:style w:type="paragraph" w:styleId="21">
    <w:name w:val="Normal (Web)"/>
    <w:basedOn w:val="1"/>
    <w:qFormat/>
    <w:uiPriority w:val="0"/>
    <w:pPr>
      <w:widowControl/>
      <w:spacing w:before="100" w:beforeAutospacing="1" w:after="100" w:afterAutospacing="1"/>
      <w:jc w:val="left"/>
    </w:pPr>
    <w:rPr>
      <w:rFonts w:hAnsi="宋体"/>
      <w:sz w:val="18"/>
      <w:szCs w:val="18"/>
    </w:rPr>
  </w:style>
  <w:style w:type="paragraph" w:styleId="22">
    <w:name w:val="Body Text First Indent 2"/>
    <w:basedOn w:val="9"/>
    <w:next w:val="1"/>
    <w:unhideWhenUsed/>
    <w:qFormat/>
    <w:uiPriority w:val="0"/>
    <w:pPr>
      <w:ind w:left="420" w:leftChars="200" w:firstLine="420" w:firstLineChars="200"/>
    </w:pPr>
    <w:rPr>
      <w:rFonts w:ascii="宋体"/>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rFonts w:ascii="Times New Roman" w:hAnsi="Times New Roman" w:eastAsia="宋体" w:cs="Times New Roman"/>
      <w:b/>
      <w:bCs/>
    </w:rPr>
  </w:style>
  <w:style w:type="character" w:styleId="27">
    <w:name w:val="page number"/>
    <w:qFormat/>
    <w:uiPriority w:val="0"/>
    <w:rPr>
      <w:rFonts w:ascii="Times New Roman" w:hAnsi="Times New Roman" w:eastAsia="宋体" w:cs="Times New Roman"/>
    </w:rPr>
  </w:style>
  <w:style w:type="character" w:styleId="28">
    <w:name w:val="FollowedHyperlink"/>
    <w:qFormat/>
    <w:uiPriority w:val="0"/>
    <w:rPr>
      <w:rFonts w:ascii="Arial" w:hAnsi="Arial" w:eastAsia="宋体" w:cs="Arial"/>
      <w:color w:val="007CD2"/>
      <w:sz w:val="24"/>
      <w:szCs w:val="24"/>
      <w:u w:val="none"/>
    </w:rPr>
  </w:style>
  <w:style w:type="character" w:styleId="29">
    <w:name w:val="Hyperlink"/>
    <w:qFormat/>
    <w:uiPriority w:val="0"/>
    <w:rPr>
      <w:rFonts w:ascii="Times New Roman" w:hAnsi="Times New Roman" w:eastAsia="宋体" w:cs="Times New Roman"/>
      <w:color w:val="0000FF"/>
      <w:u w:val="single"/>
    </w:rPr>
  </w:style>
  <w:style w:type="character" w:styleId="30">
    <w:name w:val="annotation reference"/>
    <w:qFormat/>
    <w:uiPriority w:val="0"/>
    <w:rPr>
      <w:rFonts w:cs="Times New Roman"/>
      <w:sz w:val="21"/>
      <w:szCs w:val="21"/>
    </w:rPr>
  </w:style>
  <w:style w:type="character" w:customStyle="1" w:styleId="31">
    <w:name w:val="font31"/>
    <w:qFormat/>
    <w:uiPriority w:val="0"/>
    <w:rPr>
      <w:rFonts w:hint="eastAsia" w:ascii="宋体" w:hAnsi="宋体" w:eastAsia="宋体" w:cs="宋体"/>
      <w:b/>
      <w:color w:val="000000"/>
      <w:sz w:val="22"/>
      <w:szCs w:val="22"/>
      <w:u w:val="none"/>
    </w:rPr>
  </w:style>
  <w:style w:type="character" w:customStyle="1" w:styleId="32">
    <w:name w:val="style1"/>
    <w:qFormat/>
    <w:uiPriority w:val="0"/>
    <w:rPr>
      <w:rFonts w:ascii="Times New Roman" w:hAnsi="Times New Roman" w:eastAsia="宋体" w:cs="Times New Roman"/>
    </w:rPr>
  </w:style>
  <w:style w:type="character" w:customStyle="1" w:styleId="33">
    <w:name w:val="正文缩进 Char"/>
    <w:link w:val="7"/>
    <w:qFormat/>
    <w:uiPriority w:val="0"/>
    <w:rPr>
      <w:rFonts w:ascii="Times New Roman" w:hAnsi="Times New Roman" w:eastAsia="宋体" w:cs="Times New Roman"/>
      <w:kern w:val="2"/>
      <w:sz w:val="21"/>
      <w:szCs w:val="24"/>
      <w:lang w:val="en-US" w:eastAsia="zh-CN" w:bidi="ar-SA"/>
    </w:rPr>
  </w:style>
  <w:style w:type="character" w:customStyle="1" w:styleId="34">
    <w:name w:val="apple-converted-space"/>
    <w:qFormat/>
    <w:uiPriority w:val="0"/>
    <w:rPr>
      <w:rFonts w:ascii="Times New Roman" w:hAnsi="Times New Roman" w:eastAsia="宋体" w:cs="Times New Roman"/>
    </w:rPr>
  </w:style>
  <w:style w:type="character" w:customStyle="1" w:styleId="35">
    <w:name w:val="font81"/>
    <w:qFormat/>
    <w:uiPriority w:val="0"/>
    <w:rPr>
      <w:rFonts w:hint="eastAsia" w:ascii="宋体" w:hAnsi="宋体" w:eastAsia="宋体" w:cs="宋体"/>
      <w:b/>
      <w:color w:val="000000"/>
      <w:sz w:val="22"/>
      <w:szCs w:val="22"/>
      <w:u w:val="none"/>
    </w:rPr>
  </w:style>
  <w:style w:type="character" w:customStyle="1" w:styleId="36">
    <w:name w:val="tdrownotice1"/>
    <w:qFormat/>
    <w:uiPriority w:val="0"/>
    <w:rPr>
      <w:rFonts w:hint="default" w:ascii="Times New Roman" w:hAnsi="Times New Roman" w:eastAsia="宋体" w:cs="Times New Roman"/>
      <w:sz w:val="22"/>
    </w:rPr>
  </w:style>
  <w:style w:type="character" w:customStyle="1" w:styleId="37">
    <w:name w:val="表正文 Char1"/>
    <w:qFormat/>
    <w:uiPriority w:val="0"/>
    <w:rPr>
      <w:rFonts w:ascii="Times New Roman" w:hAnsi="Times New Roman" w:eastAsia="宋体" w:cs="Times New Roman"/>
      <w:kern w:val="2"/>
      <w:sz w:val="21"/>
      <w:szCs w:val="24"/>
      <w:lang w:val="en-US" w:eastAsia="zh-CN" w:bidi="ar-SA"/>
    </w:rPr>
  </w:style>
  <w:style w:type="character" w:customStyle="1" w:styleId="38">
    <w:name w:val="font61"/>
    <w:qFormat/>
    <w:uiPriority w:val="0"/>
    <w:rPr>
      <w:rFonts w:hint="eastAsia" w:ascii="微软雅黑" w:hAnsi="微软雅黑" w:eastAsia="微软雅黑" w:cs="微软雅黑"/>
      <w:b/>
      <w:color w:val="000000"/>
      <w:sz w:val="22"/>
      <w:szCs w:val="22"/>
      <w:u w:val="none"/>
    </w:rPr>
  </w:style>
  <w:style w:type="character" w:customStyle="1" w:styleId="39">
    <w:name w:val="font71"/>
    <w:qFormat/>
    <w:uiPriority w:val="0"/>
    <w:rPr>
      <w:rFonts w:hint="eastAsia" w:ascii="宋体" w:hAnsi="宋体" w:eastAsia="宋体" w:cs="宋体"/>
      <w:color w:val="000000"/>
      <w:sz w:val="20"/>
      <w:szCs w:val="20"/>
      <w:u w:val="none"/>
    </w:rPr>
  </w:style>
  <w:style w:type="character" w:customStyle="1" w:styleId="40">
    <w:name w:val="font01"/>
    <w:qFormat/>
    <w:uiPriority w:val="0"/>
    <w:rPr>
      <w:rFonts w:hint="eastAsia" w:ascii="宋体" w:hAnsi="宋体" w:eastAsia="宋体" w:cs="宋体"/>
      <w:i/>
      <w:color w:val="000000"/>
      <w:sz w:val="20"/>
      <w:szCs w:val="20"/>
      <w:u w:val="none"/>
    </w:rPr>
  </w:style>
  <w:style w:type="character" w:customStyle="1" w:styleId="41">
    <w:name w:val="正文文本缩进 Char"/>
    <w:link w:val="10"/>
    <w:qFormat/>
    <w:uiPriority w:val="0"/>
    <w:rPr>
      <w:rFonts w:ascii="Times New Roman" w:hAnsi="Times New Roman" w:eastAsia="宋体" w:cs="Times New Roman"/>
      <w:kern w:val="2"/>
      <w:sz w:val="32"/>
      <w:lang w:val="en-US" w:eastAsia="zh-CN" w:bidi="ar-SA"/>
    </w:rPr>
  </w:style>
  <w:style w:type="character" w:customStyle="1" w:styleId="42">
    <w:name w:val="页码1"/>
    <w:qFormat/>
    <w:uiPriority w:val="0"/>
    <w:rPr>
      <w:rFonts w:ascii="Times New Roman" w:hAnsi="Times New Roman" w:eastAsia="宋体" w:cs="Times New Roman"/>
    </w:rPr>
  </w:style>
  <w:style w:type="character" w:customStyle="1" w:styleId="43">
    <w:name w:val="font41"/>
    <w:qFormat/>
    <w:uiPriority w:val="0"/>
    <w:rPr>
      <w:rFonts w:hint="eastAsia" w:ascii="宋体" w:hAnsi="宋体" w:eastAsia="宋体" w:cs="宋体"/>
      <w:color w:val="000000"/>
      <w:sz w:val="24"/>
      <w:szCs w:val="24"/>
      <w:u w:val="none"/>
    </w:rPr>
  </w:style>
  <w:style w:type="character" w:customStyle="1" w:styleId="44">
    <w:name w:val="font111"/>
    <w:qFormat/>
    <w:uiPriority w:val="0"/>
    <w:rPr>
      <w:rFonts w:hint="eastAsia" w:ascii="宋体" w:hAnsi="宋体" w:eastAsia="宋体" w:cs="宋体"/>
      <w:b/>
      <w:color w:val="000000"/>
      <w:sz w:val="32"/>
      <w:szCs w:val="32"/>
      <w:u w:val="none"/>
    </w:rPr>
  </w:style>
  <w:style w:type="character" w:customStyle="1" w:styleId="45">
    <w:name w:val="（符号）邀请函中一、"/>
    <w:qFormat/>
    <w:uiPriority w:val="0"/>
    <w:rPr>
      <w:rFonts w:ascii="黑体" w:hAnsi="黑体" w:eastAsia="黑体" w:cs="Times New Roman"/>
      <w:b/>
      <w:bCs/>
      <w:sz w:val="24"/>
    </w:rPr>
  </w:style>
  <w:style w:type="character" w:customStyle="1" w:styleId="46">
    <w:name w:val="font11"/>
    <w:qFormat/>
    <w:uiPriority w:val="0"/>
    <w:rPr>
      <w:rFonts w:hint="eastAsia" w:ascii="宋体" w:hAnsi="宋体" w:eastAsia="宋体" w:cs="宋体"/>
      <w:color w:val="000000"/>
      <w:sz w:val="24"/>
      <w:szCs w:val="24"/>
      <w:u w:val="none"/>
    </w:rPr>
  </w:style>
  <w:style w:type="character" w:customStyle="1" w:styleId="47">
    <w:name w:val="font21"/>
    <w:qFormat/>
    <w:uiPriority w:val="0"/>
    <w:rPr>
      <w:rFonts w:hint="eastAsia" w:ascii="宋体" w:hAnsi="宋体" w:eastAsia="宋体" w:cs="宋体"/>
      <w:color w:val="000000"/>
      <w:sz w:val="20"/>
      <w:szCs w:val="20"/>
      <w:u w:val="none"/>
    </w:rPr>
  </w:style>
  <w:style w:type="character" w:customStyle="1" w:styleId="48">
    <w:name w:val="左对齐的表内文字 Char"/>
    <w:link w:val="49"/>
    <w:qFormat/>
    <w:uiPriority w:val="0"/>
    <w:rPr>
      <w:rFonts w:ascii="Times New Roman" w:hAnsi="Times New Roman" w:eastAsia="仿宋_GB2312" w:cs="Times New Roman"/>
      <w:kern w:val="2"/>
      <w:sz w:val="21"/>
      <w:lang w:bidi="ar-SA"/>
    </w:rPr>
  </w:style>
  <w:style w:type="paragraph" w:customStyle="1" w:styleId="49">
    <w:name w:val="左对齐的表内文字"/>
    <w:basedOn w:val="1"/>
    <w:link w:val="48"/>
    <w:qFormat/>
    <w:uiPriority w:val="0"/>
    <w:rPr>
      <w:rFonts w:ascii="Times New Roman" w:eastAsia="仿宋_GB2312"/>
      <w:kern w:val="2"/>
      <w:sz w:val="21"/>
    </w:rPr>
  </w:style>
  <w:style w:type="character" w:customStyle="1" w:styleId="50">
    <w:name w:val="纯文本 Char"/>
    <w:link w:val="11"/>
    <w:qFormat/>
    <w:uiPriority w:val="0"/>
    <w:rPr>
      <w:rFonts w:ascii="宋体" w:hAnsi="Courier New" w:eastAsia="宋体" w:cs="Times New Roman"/>
      <w:kern w:val="2"/>
      <w:sz w:val="21"/>
      <w:lang w:val="en-US" w:eastAsia="zh-CN" w:bidi="ar-SA"/>
    </w:rPr>
  </w:style>
  <w:style w:type="paragraph" w:customStyle="1" w:styleId="51">
    <w:name w:val="_Style 3"/>
    <w:basedOn w:val="1"/>
    <w:qFormat/>
    <w:uiPriority w:val="34"/>
    <w:pPr>
      <w:ind w:firstLine="420" w:firstLineChars="200"/>
    </w:pPr>
  </w:style>
  <w:style w:type="paragraph" w:customStyle="1" w:styleId="52">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3">
    <w:name w:val="_Style 2"/>
    <w:basedOn w:val="1"/>
    <w:qFormat/>
    <w:uiPriority w:val="34"/>
    <w:pPr>
      <w:ind w:firstLine="420" w:firstLineChars="200"/>
    </w:pPr>
    <w:rPr>
      <w:rFonts w:ascii="Calibri"/>
    </w:rPr>
  </w:style>
  <w:style w:type="paragraph" w:customStyle="1" w:styleId="54">
    <w:name w:val="标准文本"/>
    <w:basedOn w:val="1"/>
    <w:qFormat/>
    <w:uiPriority w:val="0"/>
    <w:pPr>
      <w:spacing w:line="360" w:lineRule="auto"/>
      <w:ind w:firstLine="480" w:firstLineChars="200"/>
    </w:pPr>
    <w:rPr>
      <w:rFonts w:ascii="Times New Roman" w:cs="宋体"/>
      <w:sz w:val="24"/>
    </w:rPr>
  </w:style>
  <w:style w:type="paragraph" w:customStyle="1" w:styleId="55">
    <w:name w:val="正文缩进3"/>
    <w:basedOn w:val="1"/>
    <w:qFormat/>
    <w:uiPriority w:val="0"/>
    <w:pPr>
      <w:autoSpaceDE w:val="0"/>
      <w:autoSpaceDN w:val="0"/>
      <w:adjustRightInd w:val="0"/>
      <w:ind w:firstLine="420"/>
    </w:pPr>
    <w:rPr>
      <w:rFonts w:ascii="Times New Roman"/>
      <w:szCs w:val="21"/>
    </w:rPr>
  </w:style>
  <w:style w:type="paragraph" w:customStyle="1" w:styleId="56">
    <w:name w:val="表格"/>
    <w:basedOn w:val="1"/>
    <w:qFormat/>
    <w:uiPriority w:val="0"/>
    <w:pPr>
      <w:spacing w:line="400" w:lineRule="exact"/>
    </w:pPr>
    <w:rPr>
      <w:rFonts w:ascii="Times New Roman"/>
      <w:sz w:val="24"/>
    </w:rPr>
  </w:style>
  <w:style w:type="paragraph" w:styleId="57">
    <w:name w:val="List Paragraph"/>
    <w:basedOn w:val="1"/>
    <w:qFormat/>
    <w:uiPriority w:val="0"/>
    <w:pPr>
      <w:ind w:firstLine="420" w:firstLineChars="200"/>
    </w:pPr>
    <w:rPr>
      <w:rFonts w:ascii="Times New Roman"/>
      <w:sz w:val="18"/>
      <w:szCs w:val="18"/>
    </w:rPr>
  </w:style>
  <w:style w:type="paragraph" w:customStyle="1" w:styleId="58">
    <w:name w:val="Char1 Char Char Char"/>
    <w:basedOn w:val="1"/>
    <w:qFormat/>
    <w:uiPriority w:val="0"/>
    <w:rPr>
      <w:rFonts w:ascii="Times New Roman" w:eastAsia="仿宋_GB2312"/>
      <w:sz w:val="28"/>
    </w:rPr>
  </w:style>
  <w:style w:type="paragraph" w:customStyle="1" w:styleId="59">
    <w:name w:val="正文首行缩进两字符"/>
    <w:basedOn w:val="1"/>
    <w:qFormat/>
    <w:uiPriority w:val="0"/>
    <w:pPr>
      <w:spacing w:line="360" w:lineRule="auto"/>
      <w:ind w:firstLine="200" w:firstLineChars="200"/>
    </w:pPr>
    <w:rPr>
      <w:rFonts w:ascii="Times New Roman"/>
    </w:rPr>
  </w:style>
  <w:style w:type="paragraph" w:customStyle="1" w:styleId="60">
    <w:name w:val="Body Text 22"/>
    <w:basedOn w:val="1"/>
    <w:qFormat/>
    <w:uiPriority w:val="0"/>
    <w:pPr>
      <w:adjustRightInd w:val="0"/>
      <w:spacing w:line="300" w:lineRule="auto"/>
      <w:jc w:val="center"/>
      <w:textAlignment w:val="baseline"/>
    </w:pPr>
    <w:rPr>
      <w:rFonts w:hAnsi="宋体"/>
      <w:sz w:val="24"/>
    </w:rPr>
  </w:style>
  <w:style w:type="paragraph" w:customStyle="1" w:styleId="6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2">
    <w:name w:val="列出段落1"/>
    <w:basedOn w:val="1"/>
    <w:qFormat/>
    <w:uiPriority w:val="0"/>
    <w:pPr>
      <w:ind w:firstLine="420" w:firstLineChars="200"/>
    </w:pPr>
    <w:rPr>
      <w:rFonts w:ascii="Times New Roman"/>
    </w:rPr>
  </w:style>
  <w:style w:type="paragraph" w:customStyle="1" w:styleId="63">
    <w:name w:val="p0"/>
    <w:basedOn w:val="1"/>
    <w:qFormat/>
    <w:uiPriority w:val="0"/>
    <w:pPr>
      <w:widowControl/>
    </w:pPr>
    <w:rPr>
      <w:rFonts w:ascii="Times New Roman"/>
      <w:szCs w:val="21"/>
    </w:rPr>
  </w:style>
  <w:style w:type="paragraph" w:customStyle="1" w:styleId="64">
    <w:name w:val="左对齐的表内文字1"/>
    <w:basedOn w:val="1"/>
    <w:qFormat/>
    <w:uiPriority w:val="0"/>
    <w:rPr>
      <w:rFonts w:ascii="Times New Roman"/>
    </w:rPr>
  </w:style>
  <w:style w:type="paragraph" w:customStyle="1" w:styleId="65">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66">
    <w:name w:val="List Paragraph1"/>
    <w:basedOn w:val="1"/>
    <w:qFormat/>
    <w:uiPriority w:val="99"/>
    <w:pPr>
      <w:ind w:firstLine="420" w:firstLineChars="200"/>
    </w:pPr>
    <w:rPr>
      <w:rFonts w:ascii="Times New Roman"/>
      <w:szCs w:val="34"/>
    </w:rPr>
  </w:style>
  <w:style w:type="paragraph" w:customStyle="1" w:styleId="67">
    <w:name w:val="0"/>
    <w:qFormat/>
    <w:uiPriority w:val="0"/>
    <w:pPr>
      <w:snapToGrid w:val="0"/>
    </w:pPr>
    <w:rPr>
      <w:rFonts w:ascii="Calibri" w:hAnsi="Calibri" w:eastAsia="宋体" w:cs="Times New Roman"/>
      <w:lang w:val="en-US" w:eastAsia="zh-CN" w:bidi="ar-SA"/>
    </w:rPr>
  </w:style>
  <w:style w:type="paragraph" w:customStyle="1" w:styleId="68">
    <w:name w:val="pa-8"/>
    <w:basedOn w:val="1"/>
    <w:qFormat/>
    <w:uiPriority w:val="0"/>
    <w:pPr>
      <w:widowControl/>
      <w:spacing w:before="150" w:after="150"/>
      <w:jc w:val="left"/>
    </w:pPr>
    <w:rPr>
      <w:rFonts w:hAnsi="宋体" w:cs="宋体"/>
      <w:sz w:val="24"/>
      <w:szCs w:val="24"/>
    </w:rPr>
  </w:style>
  <w:style w:type="paragraph" w:customStyle="1" w:styleId="69">
    <w:name w:val="+正文"/>
    <w:basedOn w:val="1"/>
    <w:qFormat/>
    <w:uiPriority w:val="0"/>
    <w:pPr>
      <w:spacing w:line="360" w:lineRule="auto"/>
      <w:ind w:firstLine="200" w:firstLineChars="200"/>
    </w:pPr>
    <w:rPr>
      <w:rFonts w:ascii="Times New Roman" w:eastAsia="楷体_GB2312"/>
      <w:szCs w:val="28"/>
    </w:rPr>
  </w:style>
  <w:style w:type="paragraph" w:styleId="70">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71">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2">
    <w:name w:val="样式 首行缩进:  2 字符"/>
    <w:basedOn w:val="1"/>
    <w:qFormat/>
    <w:uiPriority w:val="0"/>
    <w:pPr>
      <w:spacing w:line="400" w:lineRule="exact"/>
      <w:ind w:firstLine="200" w:firstLineChars="200"/>
    </w:pPr>
    <w:rPr>
      <w:rFonts w:ascii="Times New Roman" w:cs="宋体"/>
      <w:sz w:val="24"/>
    </w:rPr>
  </w:style>
  <w:style w:type="paragraph" w:customStyle="1" w:styleId="73">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5">
    <w:name w:val="首行缩进"/>
    <w:basedOn w:val="1"/>
    <w:qFormat/>
    <w:uiPriority w:val="99"/>
    <w:pPr>
      <w:spacing w:line="360" w:lineRule="auto"/>
      <w:ind w:firstLine="480" w:firstLineChars="200"/>
      <w:jc w:val="left"/>
    </w:pPr>
    <w:rPr>
      <w:rFonts w:hAnsi="宋体"/>
      <w:sz w:val="24"/>
    </w:rPr>
  </w:style>
  <w:style w:type="paragraph" w:customStyle="1" w:styleId="76">
    <w:name w:val="正文 A"/>
    <w:next w:val="77"/>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7">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78">
    <w:name w:val="Table Paragraph"/>
    <w:basedOn w:val="1"/>
    <w:qFormat/>
    <w:uiPriority w:val="1"/>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22</Pages>
  <Words>7807</Words>
  <Characters>8366</Characters>
  <Lines>70</Lines>
  <Paragraphs>19</Paragraphs>
  <TotalTime>58</TotalTime>
  <ScaleCrop>false</ScaleCrop>
  <LinksUpToDate>false</LinksUpToDate>
  <CharactersWithSpaces>8713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2022-10-30T14:29:00Z</dcterms:created>
  <dc:creator>微软用户</dc:creator>
  <cp:lastModifiedBy>Administrator</cp:lastModifiedBy>
  <cp:lastPrinted>2015-08-20T10:29:00Z</cp:lastPrinted>
  <dcterms:modified xsi:type="dcterms:W3CDTF">2022-11-04T11:34:20Z</dcterms:modified>
  <dc:title>招标编号：SCSZ-2013-02</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7603307D65C041C6B948029F13D40956</vt:lpwstr>
  </property>
</Properties>
</file>