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内江校区2022年职工体检项目</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采购编号：TZY-ZB-20220</w:t>
      </w:r>
      <w:r>
        <w:rPr>
          <w:rFonts w:hint="eastAsia" w:hAnsi="宋体" w:cs="宋体"/>
          <w:bCs/>
          <w:sz w:val="30"/>
          <w:szCs w:val="30"/>
          <w:lang w:val="en-US" w:eastAsia="zh-CN"/>
        </w:rPr>
        <w:t>30</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四川·内江</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 xml:space="preserve"> 11</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25"/>
          <w:rFonts w:ascii="宋体" w:hAnsi="宋体" w:cs="宋体"/>
          <w:color w:val="auto"/>
          <w:kern w:val="2"/>
          <w:sz w:val="44"/>
          <w:szCs w:val="44"/>
          <w:u w:val="none"/>
        </w:rPr>
      </w:pPr>
      <w:r>
        <w:rPr>
          <w:rStyle w:val="25"/>
          <w:rFonts w:hint="eastAsia" w:ascii="宋体" w:hAnsi="宋体" w:cs="宋体"/>
          <w:color w:val="auto"/>
          <w:kern w:val="2"/>
          <w:sz w:val="44"/>
          <w:szCs w:val="44"/>
          <w:u w:val="none"/>
        </w:rPr>
        <w:t>目    录</w:t>
      </w:r>
    </w:p>
    <w:p/>
    <w:p>
      <w:pPr>
        <w:pStyle w:val="14"/>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3</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9</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5</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1</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4</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3"/>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内江校区2022年职工体检</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8"/>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TZY--ZB--20220</w:t>
      </w:r>
      <w:r>
        <w:rPr>
          <w:rFonts w:hint="eastAsia" w:hAnsi="宋体" w:cs="宋体"/>
          <w:bCs/>
          <w:sz w:val="24"/>
          <w:szCs w:val="24"/>
          <w:u w:val="single"/>
          <w:lang w:val="en-US" w:eastAsia="zh-CN"/>
        </w:rPr>
        <w:t>30</w:t>
      </w:r>
    </w:p>
    <w:p>
      <w:pPr>
        <w:pStyle w:val="8"/>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ascii="宋体" w:hAnsi="宋体" w:cs="宋体"/>
          <w:bCs/>
          <w:kern w:val="0"/>
          <w:sz w:val="24"/>
          <w:szCs w:val="24"/>
          <w:u w:val="single"/>
        </w:rPr>
        <w:t>内江校区2022年职工体检</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r>
        <w:rPr>
          <w:rFonts w:hint="eastAsia" w:hAnsi="宋体" w:cs="宋体"/>
          <w:sz w:val="24"/>
          <w:szCs w:val="24"/>
        </w:rPr>
        <w:t>详见第四章</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pStyle w:val="8"/>
        <w:snapToGrid w:val="0"/>
        <w:spacing w:line="360" w:lineRule="auto"/>
        <w:ind w:firstLine="439" w:firstLineChars="183"/>
        <w:rPr>
          <w:rFonts w:hAnsi="宋体" w:cs="宋体"/>
          <w:sz w:val="24"/>
          <w:szCs w:val="24"/>
        </w:rPr>
      </w:pPr>
      <w:r>
        <w:rPr>
          <w:rFonts w:hint="eastAsia" w:hAnsi="宋体" w:cs="宋体"/>
          <w:sz w:val="24"/>
          <w:szCs w:val="24"/>
        </w:rPr>
        <w:t>投标人必须符合《政府采购法》第二十二条要求，且满足以下条件：</w:t>
      </w:r>
    </w:p>
    <w:p>
      <w:pPr>
        <w:pStyle w:val="8"/>
        <w:snapToGrid w:val="0"/>
        <w:spacing w:line="360" w:lineRule="auto"/>
        <w:ind w:firstLine="439" w:firstLineChars="183"/>
        <w:rPr>
          <w:rFonts w:hAnsi="宋体" w:cs="宋体"/>
          <w:sz w:val="24"/>
          <w:szCs w:val="22"/>
        </w:rPr>
      </w:pPr>
      <w:r>
        <w:rPr>
          <w:rFonts w:hint="eastAsia" w:hAnsi="宋体" w:cs="宋体"/>
          <w:sz w:val="24"/>
          <w:szCs w:val="22"/>
        </w:rPr>
        <w:t>（一）具有独立承担民事责任的能力；</w:t>
      </w:r>
    </w:p>
    <w:p>
      <w:pPr>
        <w:pStyle w:val="8"/>
        <w:snapToGrid w:val="0"/>
        <w:spacing w:line="360" w:lineRule="auto"/>
        <w:ind w:firstLine="439" w:firstLineChars="183"/>
        <w:rPr>
          <w:rFonts w:hAnsi="宋体" w:cs="宋体"/>
          <w:sz w:val="24"/>
          <w:szCs w:val="22"/>
        </w:rPr>
      </w:pPr>
      <w:r>
        <w:rPr>
          <w:rFonts w:hint="eastAsia" w:hAnsi="宋体" w:cs="宋体"/>
          <w:sz w:val="24"/>
          <w:szCs w:val="22"/>
        </w:rPr>
        <w:t>（二）具有良好的商业信誉和健全的财务会计制度；</w:t>
      </w:r>
    </w:p>
    <w:p>
      <w:pPr>
        <w:pStyle w:val="8"/>
        <w:snapToGrid w:val="0"/>
        <w:spacing w:line="360" w:lineRule="auto"/>
        <w:ind w:firstLine="439" w:firstLineChars="183"/>
        <w:rPr>
          <w:rFonts w:hAnsi="宋体" w:cs="宋体"/>
          <w:sz w:val="24"/>
          <w:szCs w:val="22"/>
        </w:rPr>
      </w:pPr>
      <w:r>
        <w:rPr>
          <w:rFonts w:hint="eastAsia" w:hAnsi="宋体" w:cs="宋体"/>
          <w:sz w:val="24"/>
          <w:szCs w:val="22"/>
        </w:rPr>
        <w:t>（三）具有履行合同所必须的设备和专业技术能力；</w:t>
      </w:r>
    </w:p>
    <w:p>
      <w:pPr>
        <w:pStyle w:val="8"/>
        <w:snapToGrid w:val="0"/>
        <w:spacing w:line="360" w:lineRule="auto"/>
        <w:ind w:firstLine="439" w:firstLineChars="183"/>
        <w:rPr>
          <w:rFonts w:hAnsi="宋体" w:cs="宋体"/>
          <w:sz w:val="24"/>
          <w:szCs w:val="22"/>
        </w:rPr>
      </w:pPr>
      <w:r>
        <w:rPr>
          <w:rFonts w:hint="eastAsia" w:hAnsi="宋体" w:cs="宋体"/>
          <w:sz w:val="24"/>
          <w:szCs w:val="22"/>
        </w:rPr>
        <w:t>（四）具有依法缴纳税收和社会保障资金的良好记录；</w:t>
      </w:r>
    </w:p>
    <w:p>
      <w:pPr>
        <w:pStyle w:val="8"/>
        <w:snapToGrid w:val="0"/>
        <w:spacing w:line="360" w:lineRule="auto"/>
        <w:ind w:firstLine="439" w:firstLineChars="183"/>
        <w:rPr>
          <w:rFonts w:hAnsi="宋体" w:cs="宋体"/>
          <w:sz w:val="24"/>
          <w:szCs w:val="22"/>
        </w:rPr>
      </w:pPr>
      <w:r>
        <w:rPr>
          <w:rFonts w:hint="eastAsia" w:hAnsi="宋体" w:cs="宋体"/>
          <w:sz w:val="24"/>
          <w:szCs w:val="22"/>
        </w:rPr>
        <w:t>（五）参加本次采购活动前三年内，在经营活动中没有重大违法记录；</w:t>
      </w:r>
    </w:p>
    <w:p>
      <w:pPr>
        <w:pStyle w:val="8"/>
        <w:snapToGrid w:val="0"/>
        <w:spacing w:line="360" w:lineRule="auto"/>
        <w:ind w:firstLine="439" w:firstLineChars="183"/>
        <w:rPr>
          <w:rFonts w:hAnsi="宋体" w:cs="宋体"/>
          <w:sz w:val="24"/>
          <w:szCs w:val="22"/>
        </w:rPr>
      </w:pPr>
      <w:r>
        <w:rPr>
          <w:rFonts w:hint="eastAsia" w:hAnsi="宋体" w:cs="宋体"/>
          <w:sz w:val="24"/>
          <w:szCs w:val="22"/>
        </w:rPr>
        <w:t>（六）法律、行政法规规定的其他条件；</w:t>
      </w:r>
    </w:p>
    <w:p>
      <w:pPr>
        <w:pStyle w:val="8"/>
        <w:snapToGrid w:val="0"/>
        <w:spacing w:line="360" w:lineRule="auto"/>
        <w:ind w:firstLine="439" w:firstLineChars="183"/>
        <w:rPr>
          <w:rFonts w:ascii="宋体" w:hAnsi="宋体" w:cs="宋体"/>
          <w:b/>
          <w:sz w:val="24"/>
          <w:szCs w:val="24"/>
        </w:rPr>
      </w:pPr>
      <w:r>
        <w:rPr>
          <w:rFonts w:hint="eastAsia" w:hAnsi="宋体" w:cs="宋体"/>
          <w:sz w:val="24"/>
          <w:szCs w:val="22"/>
        </w:rPr>
        <w:t>（七）本项目不接受联合体参与招标。</w:t>
      </w:r>
    </w:p>
    <w:p>
      <w:pPr>
        <w:snapToGrid w:val="0"/>
        <w:spacing w:line="360" w:lineRule="auto"/>
        <w:ind w:firstLine="479" w:firstLineChars="199"/>
        <w:rPr>
          <w:rFonts w:hint="eastAsia" w:hAnsi="宋体" w:cs="宋体"/>
          <w:b/>
          <w:sz w:val="24"/>
          <w:szCs w:val="24"/>
        </w:rPr>
      </w:pP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六、投标截止时间和开标时间：2022 </w:t>
      </w:r>
      <w:r>
        <w:rPr>
          <w:rFonts w:hint="eastAsia" w:hAnsi="宋体" w:cs="宋体"/>
          <w:bCs/>
          <w:sz w:val="24"/>
          <w:szCs w:val="24"/>
        </w:rPr>
        <w:t>年 11月</w:t>
      </w:r>
      <w:r>
        <w:rPr>
          <w:rFonts w:hint="eastAsia" w:hAnsi="宋体" w:cs="宋体"/>
          <w:bCs/>
          <w:sz w:val="24"/>
          <w:szCs w:val="24"/>
          <w:lang w:val="en-US" w:eastAsia="zh-CN"/>
        </w:rPr>
        <w:t>15</w:t>
      </w:r>
      <w:r>
        <w:rPr>
          <w:rFonts w:hint="eastAsia" w:hAnsi="宋体" w:cs="宋体"/>
          <w:bCs/>
          <w:sz w:val="24"/>
          <w:szCs w:val="24"/>
        </w:rPr>
        <w:t xml:space="preserve"> 日 1</w:t>
      </w:r>
      <w:r>
        <w:rPr>
          <w:rFonts w:hint="eastAsia" w:hAnsi="宋体" w:cs="宋体"/>
          <w:bCs/>
          <w:sz w:val="24"/>
          <w:szCs w:val="24"/>
          <w:lang w:val="en-US" w:eastAsia="zh-CN"/>
        </w:rPr>
        <w:t>0</w:t>
      </w:r>
      <w:r>
        <w:rPr>
          <w:rFonts w:hint="eastAsia" w:hAnsi="宋体" w:cs="宋体"/>
          <w:bCs/>
          <w:sz w:val="24"/>
          <w:szCs w:val="24"/>
        </w:rPr>
        <w:t xml:space="preserve">:00  </w:t>
      </w:r>
      <w:r>
        <w:rPr>
          <w:rFonts w:hint="eastAsia" w:hAnsi="宋体" w:cs="宋体"/>
          <w:sz w:val="24"/>
          <w:szCs w:val="24"/>
        </w:rPr>
        <w:t>（北京时间）。</w:t>
      </w:r>
    </w:p>
    <w:p>
      <w:pPr>
        <w:pStyle w:val="8"/>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内江市市中区甜城大道300号四川铁道职业学院内江校区），若不签到的投标文件将被拒收，投标人自行承担一切后果。逾期送达或密封和标注不符合招标文件规定的投标文件恕不接受。本次招标不接受邮寄的投标文件。</w:t>
      </w:r>
    </w:p>
    <w:p>
      <w:pPr>
        <w:pStyle w:val="8"/>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特别说明：因疫情期间，为保证安全，请前来投标的商家戴好口罩，准备健康二维码，48小时核算阴性证明，服从学校疫情管理，做好个人防护。</w:t>
      </w:r>
    </w:p>
    <w:p>
      <w:pPr>
        <w:pStyle w:val="8"/>
        <w:snapToGrid w:val="0"/>
        <w:spacing w:line="360" w:lineRule="auto"/>
        <w:ind w:firstLine="482" w:firstLineChars="200"/>
        <w:rPr>
          <w:rFonts w:hint="eastAsia" w:hAnsi="宋体" w:cs="宋体"/>
          <w:b/>
          <w:bCs/>
          <w:sz w:val="24"/>
          <w:szCs w:val="24"/>
        </w:rPr>
      </w:pPr>
    </w:p>
    <w:p>
      <w:pPr>
        <w:pStyle w:val="8"/>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：内江市市中区甜城大道248号四川铁道职业学院内江校区办公楼2楼会议室。</w:t>
      </w:r>
    </w:p>
    <w:p>
      <w:pPr>
        <w:pStyle w:val="57"/>
        <w:snapToGrid w:val="0"/>
        <w:ind w:firstLine="479" w:firstLineChars="199"/>
        <w:rPr>
          <w:rFonts w:hint="eastAsia" w:hAnsi="宋体" w:cs="宋体"/>
          <w:b/>
          <w:sz w:val="24"/>
          <w:szCs w:val="24"/>
        </w:rPr>
      </w:pPr>
    </w:p>
    <w:p>
      <w:pPr>
        <w:pStyle w:val="57"/>
        <w:snapToGrid w:val="0"/>
        <w:ind w:firstLine="479" w:firstLineChars="199"/>
        <w:rPr>
          <w:rFonts w:hint="eastAsia" w:hAnsi="宋体" w:cs="宋体"/>
          <w:b/>
          <w:sz w:val="24"/>
          <w:szCs w:val="24"/>
        </w:rPr>
      </w:pPr>
    </w:p>
    <w:p>
      <w:pPr>
        <w:pStyle w:val="57"/>
        <w:snapToGrid w:val="0"/>
        <w:ind w:firstLine="479" w:firstLineChars="199"/>
        <w:rPr>
          <w:rFonts w:hint="eastAsia" w:hAnsi="宋体" w:cs="宋体"/>
          <w:b/>
          <w:sz w:val="24"/>
          <w:szCs w:val="24"/>
        </w:rPr>
      </w:pPr>
    </w:p>
    <w:p>
      <w:pPr>
        <w:pStyle w:val="57"/>
        <w:snapToGrid w:val="0"/>
        <w:ind w:firstLine="479" w:firstLineChars="199"/>
        <w:rPr>
          <w:rFonts w:hAnsi="宋体" w:cs="宋体"/>
          <w:b/>
          <w:sz w:val="24"/>
          <w:szCs w:val="24"/>
        </w:rPr>
      </w:pPr>
      <w:r>
        <w:rPr>
          <w:rFonts w:hint="eastAsia" w:hAnsi="宋体" w:cs="宋体"/>
          <w:b/>
          <w:sz w:val="24"/>
          <w:szCs w:val="24"/>
        </w:rPr>
        <w:t>八、联系方式</w:t>
      </w:r>
    </w:p>
    <w:p>
      <w:pPr>
        <w:pStyle w:val="57"/>
        <w:snapToGrid w:val="0"/>
        <w:ind w:firstLine="477" w:firstLineChars="199"/>
        <w:rPr>
          <w:rFonts w:hAnsi="宋体" w:cs="宋体"/>
          <w:b/>
          <w:sz w:val="24"/>
          <w:szCs w:val="24"/>
        </w:rPr>
      </w:pPr>
      <w:r>
        <w:rPr>
          <w:rFonts w:hint="eastAsia" w:hAnsi="宋体" w:cs="宋体"/>
          <w:snapToGrid w:val="0"/>
          <w:sz w:val="24"/>
        </w:rPr>
        <w:t>采购人：四川铁道职业学院</w:t>
      </w:r>
    </w:p>
    <w:p>
      <w:pPr>
        <w:pStyle w:val="57"/>
        <w:snapToGrid w:val="0"/>
        <w:ind w:firstLine="439" w:firstLineChars="183"/>
        <w:rPr>
          <w:rFonts w:hAnsi="宋体" w:cs="宋体"/>
          <w:sz w:val="24"/>
          <w:highlight w:val="yellow"/>
        </w:rPr>
      </w:pPr>
      <w:r>
        <w:rPr>
          <w:rFonts w:hint="eastAsia" w:hAnsi="宋体" w:cs="宋体"/>
          <w:bCs/>
          <w:sz w:val="24"/>
        </w:rPr>
        <w:t>地址：</w:t>
      </w:r>
      <w:r>
        <w:rPr>
          <w:rFonts w:hint="eastAsia" w:ascii="宋体" w:hAnsi="宋体" w:cs="宋体"/>
          <w:sz w:val="24"/>
          <w:szCs w:val="24"/>
        </w:rPr>
        <w:t>内江市市中区甜城大道248号四川铁道职业学院内江校区</w:t>
      </w:r>
    </w:p>
    <w:p>
      <w:pPr>
        <w:pStyle w:val="57"/>
        <w:snapToGrid w:val="0"/>
        <w:ind w:firstLine="439" w:firstLineChars="183"/>
        <w:rPr>
          <w:rFonts w:hAnsi="宋体" w:cs="宋体"/>
          <w:sz w:val="24"/>
        </w:rPr>
      </w:pPr>
      <w:r>
        <w:rPr>
          <w:rFonts w:hint="eastAsia" w:hAnsi="宋体" w:cs="宋体"/>
          <w:sz w:val="24"/>
        </w:rPr>
        <w:t xml:space="preserve">联系人：贺老师  张老师 </w:t>
      </w:r>
    </w:p>
    <w:p>
      <w:pPr>
        <w:pStyle w:val="57"/>
        <w:snapToGrid w:val="0"/>
        <w:ind w:firstLine="439" w:firstLineChars="183"/>
        <w:rPr>
          <w:rFonts w:hAnsi="宋体" w:cs="宋体"/>
          <w:sz w:val="24"/>
        </w:rPr>
      </w:pPr>
      <w:r>
        <w:rPr>
          <w:rFonts w:hint="eastAsia" w:hAnsi="宋体" w:cs="宋体"/>
          <w:sz w:val="24"/>
        </w:rPr>
        <w:t>联系电话：028-68939875   0832-6100471</w:t>
      </w:r>
    </w:p>
    <w:p>
      <w:pPr>
        <w:pStyle w:val="57"/>
        <w:snapToGrid w:val="0"/>
        <w:ind w:firstLine="0" w:firstLineChars="0"/>
        <w:rPr>
          <w:rFonts w:hAnsi="宋体" w:cs="宋体"/>
          <w:sz w:val="24"/>
        </w:rPr>
        <w:sectPr>
          <w:footerReference r:id="rId5" w:type="default"/>
          <w:pgSz w:w="11907" w:h="16840"/>
          <w:pgMar w:top="1440" w:right="1080" w:bottom="1440" w:left="1080" w:header="851" w:footer="992" w:gutter="0"/>
          <w:pgNumType w:start="1"/>
          <w:cols w:space="720" w:num="1"/>
          <w:docGrid w:type="lines" w:linePitch="312" w:charSpace="0"/>
        </w:sectPr>
      </w:pPr>
    </w:p>
    <w:p>
      <w:pPr>
        <w:pStyle w:val="57"/>
        <w:snapToGrid w:val="0"/>
        <w:ind w:firstLine="919" w:firstLineChars="383"/>
        <w:rPr>
          <w:rFonts w:hAnsi="宋体" w:cs="宋体"/>
          <w:sz w:val="24"/>
        </w:rPr>
      </w:pPr>
      <w:r>
        <w:rPr>
          <w:rFonts w:hint="eastAsia" w:hAnsi="宋体" w:cs="宋体"/>
          <w:sz w:val="24"/>
        </w:rPr>
        <w:t xml:space="preserve">  </w:t>
      </w:r>
    </w:p>
    <w:p>
      <w:pPr>
        <w:pStyle w:val="3"/>
        <w:snapToGrid w:val="0"/>
        <w:spacing w:before="0" w:after="0" w:line="360" w:lineRule="auto"/>
        <w:jc w:val="center"/>
        <w:rPr>
          <w:rFonts w:hAnsi="宋体" w:cs="宋体"/>
          <w:sz w:val="30"/>
          <w:szCs w:val="30"/>
        </w:rPr>
      </w:pPr>
      <w:r>
        <w:rPr>
          <w:rFonts w:hint="eastAsia" w:hAnsi="宋体" w:cs="宋体"/>
          <w:sz w:val="24"/>
        </w:rPr>
        <w:t xml:space="preserve"> </w:t>
      </w:r>
      <w:bookmarkStart w:id="5" w:name="_Toc213396945"/>
      <w:bookmarkStart w:id="6" w:name="_Toc213397009"/>
      <w:bookmarkStart w:id="7" w:name="_Toc213496267"/>
      <w:bookmarkStart w:id="8" w:name="_Toc217446031"/>
      <w:bookmarkStart w:id="9" w:name="_Toc358883242"/>
      <w:bookmarkStart w:id="10" w:name="_Toc213396759"/>
      <w:r>
        <w:rPr>
          <w:rFonts w:hint="eastAsia" w:hAnsi="宋体" w:cs="宋体"/>
          <w:sz w:val="30"/>
          <w:szCs w:val="30"/>
        </w:rPr>
        <w:t>第二章  投标人须知</w:t>
      </w:r>
      <w:bookmarkEnd w:id="5"/>
      <w:bookmarkEnd w:id="6"/>
      <w:bookmarkEnd w:id="7"/>
      <w:bookmarkEnd w:id="8"/>
      <w:bookmarkEnd w:id="9"/>
      <w:bookmarkEnd w:id="10"/>
    </w:p>
    <w:p>
      <w:pPr>
        <w:pStyle w:val="4"/>
        <w:snapToGrid w:val="0"/>
        <w:spacing w:before="0" w:after="0" w:line="360" w:lineRule="auto"/>
        <w:jc w:val="center"/>
        <w:rPr>
          <w:rFonts w:ascii="宋体" w:hAnsi="宋体" w:eastAsia="宋体" w:cs="宋体"/>
          <w:sz w:val="30"/>
          <w:szCs w:val="30"/>
        </w:rPr>
      </w:pPr>
      <w:bookmarkStart w:id="11" w:name="_Toc217446032"/>
      <w:bookmarkStart w:id="12" w:name="_Toc213396760"/>
      <w:bookmarkStart w:id="13" w:name="_Toc213496268"/>
      <w:bookmarkStart w:id="14" w:name="_Toc213397010"/>
      <w:bookmarkStart w:id="15" w:name="_Toc189727030"/>
      <w:bookmarkStart w:id="16" w:name="_Toc213396946"/>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29"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rPr>
            </w:pPr>
            <w:r>
              <w:rPr>
                <w:rFonts w:hint="eastAsia" w:hAnsi="宋体" w:cs="宋体"/>
                <w:sz w:val="24"/>
                <w:szCs w:val="24"/>
                <w:lang w:val="zh-CN"/>
              </w:rPr>
              <w:t>名称：</w:t>
            </w:r>
            <w:r>
              <w:rPr>
                <w:rFonts w:hint="eastAsia" w:hAnsi="宋体" w:cs="宋体"/>
                <w:sz w:val="24"/>
                <w:szCs w:val="24"/>
              </w:rPr>
              <w:t>四川铁道职业学院</w:t>
            </w:r>
          </w:p>
          <w:p>
            <w:pPr>
              <w:pStyle w:val="57"/>
              <w:snapToGrid w:val="0"/>
              <w:ind w:firstLine="228" w:firstLineChars="95"/>
              <w:rPr>
                <w:rFonts w:hAnsi="宋体" w:cs="宋体"/>
                <w:sz w:val="24"/>
                <w:szCs w:val="24"/>
                <w:lang w:val="zh-CN"/>
              </w:rPr>
            </w:pPr>
            <w:r>
              <w:rPr>
                <w:rFonts w:hint="eastAsia" w:hAnsi="宋体" w:cs="宋体"/>
                <w:sz w:val="24"/>
                <w:szCs w:val="24"/>
                <w:lang w:val="zh-CN"/>
              </w:rPr>
              <w:t>地址：</w:t>
            </w:r>
            <w:r>
              <w:rPr>
                <w:rFonts w:hint="eastAsia" w:hAnsi="宋体" w:cs="宋体"/>
                <w:sz w:val="24"/>
                <w:szCs w:val="24"/>
              </w:rPr>
              <w:t>内江市市中区甜城大道中段248号四川铁道职业学院内江校区</w:t>
            </w:r>
          </w:p>
          <w:p>
            <w:pPr>
              <w:pStyle w:val="59"/>
              <w:snapToGrid w:val="0"/>
              <w:spacing w:line="360" w:lineRule="auto"/>
              <w:ind w:firstLine="240" w:firstLineChars="100"/>
              <w:rPr>
                <w:lang w:val="zh-CN"/>
              </w:rPr>
            </w:pPr>
            <w:r>
              <w:rPr>
                <w:rFonts w:hint="eastAsia"/>
                <w:lang w:val="zh-CN"/>
              </w:rPr>
              <w:t>联 系 人：贺老师  张老师</w:t>
            </w:r>
          </w:p>
          <w:p>
            <w:pPr>
              <w:pStyle w:val="59"/>
              <w:snapToGrid w:val="0"/>
              <w:spacing w:line="360" w:lineRule="auto"/>
              <w:ind w:firstLine="240" w:firstLineChars="100"/>
            </w:pPr>
            <w:r>
              <w:rPr>
                <w:rFonts w:hint="eastAsia"/>
                <w:lang w:val="zh-CN"/>
              </w:rPr>
              <w:t>联系电话：</w:t>
            </w:r>
            <w:r>
              <w:rPr>
                <w:rFonts w:hint="eastAsia"/>
              </w:rPr>
              <w:t>028-68939875  0832-6100471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59"/>
              <w:snapToGrid w:val="0"/>
              <w:spacing w:line="360" w:lineRule="auto"/>
              <w:ind w:firstLine="240" w:firstLineChars="100"/>
            </w:pPr>
            <w:r>
              <w:rPr>
                <w:rFonts w:hint="eastAsia"/>
              </w:rPr>
              <w:t>内江校区2022年职工体检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ind w:firstLine="240" w:firstLineChars="100"/>
            </w:pPr>
            <w:r>
              <w:rPr>
                <w:rFonts w:hint="eastAsia"/>
              </w:rPr>
              <w:t>TZY-ZB-2022029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pPr>
            <w:r>
              <w:rPr>
                <w:rFonts w:hint="eastAsia"/>
              </w:rPr>
              <w:t>9万元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highlight w:val="yellow"/>
                <w:lang w:val="zh-CN"/>
              </w:rPr>
            </w:pPr>
            <w:r>
              <w:rPr>
                <w:rFonts w:hint="eastAsia"/>
                <w:lang w:val="zh-CN"/>
              </w:rPr>
              <w:t>时间：</w:t>
            </w:r>
            <w:r>
              <w:rPr>
                <w:rFonts w:hint="eastAsia"/>
              </w:rPr>
              <w:t xml:space="preserve">2022 </w:t>
            </w:r>
            <w:r>
              <w:rPr>
                <w:rFonts w:hint="eastAsia"/>
                <w:lang w:val="zh-CN"/>
              </w:rPr>
              <w:t>年</w:t>
            </w:r>
            <w:r>
              <w:rPr>
                <w:rFonts w:hint="eastAsia"/>
              </w:rPr>
              <w:t xml:space="preserve">11月 </w:t>
            </w:r>
            <w:r>
              <w:rPr>
                <w:rFonts w:hint="eastAsia"/>
                <w:lang w:val="en-US" w:eastAsia="zh-CN"/>
              </w:rPr>
              <w:t>15</w:t>
            </w:r>
            <w:r>
              <w:rPr>
                <w:rFonts w:hint="eastAsia"/>
              </w:rPr>
              <w:t xml:space="preserve"> </w:t>
            </w:r>
            <w:r>
              <w:rPr>
                <w:rFonts w:hint="eastAsia"/>
                <w:lang w:val="zh-CN"/>
              </w:rPr>
              <w:t>日</w:t>
            </w:r>
            <w:r>
              <w:rPr>
                <w:rFonts w:hint="eastAsia"/>
              </w:rPr>
              <w:t>1</w:t>
            </w:r>
            <w:r>
              <w:rPr>
                <w:rFonts w:hint="eastAsia"/>
                <w:lang w:val="en-US" w:eastAsia="zh-CN"/>
              </w:rPr>
              <w:t>0</w:t>
            </w:r>
            <w:r>
              <w:rPr>
                <w:rFonts w:hint="eastAsia"/>
              </w:rPr>
              <w:t>:00</w:t>
            </w:r>
            <w:r>
              <w:rPr>
                <w:rFonts w:hint="eastAsia"/>
                <w:lang w:val="zh-CN"/>
              </w:rPr>
              <w:t>（北京时间）</w:t>
            </w:r>
          </w:p>
          <w:p>
            <w:pPr>
              <w:pStyle w:val="59"/>
              <w:snapToGrid w:val="0"/>
              <w:spacing w:line="360" w:lineRule="auto"/>
              <w:ind w:firstLine="240" w:firstLineChars="100"/>
            </w:pPr>
            <w:r>
              <w:rPr>
                <w:rFonts w:hint="eastAsia"/>
                <w:lang w:val="zh-CN"/>
              </w:rPr>
              <w:t>地点：</w:t>
            </w:r>
            <w:r>
              <w:rPr>
                <w:rFonts w:hint="eastAsia"/>
              </w:rPr>
              <w:t>内江市市中区甜城大道300号四川铁道职业学院内江校区</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17" w:name="_Toc89075875"/>
      <w:bookmarkStart w:id="18" w:name="_Toc77400779"/>
      <w:bookmarkStart w:id="19" w:name="_Toc183682346"/>
      <w:bookmarkStart w:id="20" w:name="_Toc217446038"/>
      <w:bookmarkStart w:id="21" w:name="_Toc183582209"/>
      <w:r>
        <w:rPr>
          <w:rFonts w:hint="eastAsia" w:ascii="宋体" w:hAnsi="宋体" w:eastAsia="宋体" w:cs="宋体"/>
          <w:sz w:val="30"/>
          <w:szCs w:val="30"/>
        </w:rPr>
        <w:t>二、招标文件</w:t>
      </w:r>
      <w:bookmarkEnd w:id="17"/>
      <w:bookmarkEnd w:id="18"/>
      <w:bookmarkEnd w:id="19"/>
      <w:bookmarkEnd w:id="20"/>
      <w:bookmarkEnd w:id="21"/>
    </w:p>
    <w:p>
      <w:pPr>
        <w:pStyle w:val="5"/>
        <w:snapToGrid w:val="0"/>
        <w:spacing w:before="0" w:after="0" w:line="360" w:lineRule="auto"/>
        <w:ind w:firstLine="482" w:firstLineChars="200"/>
        <w:rPr>
          <w:rFonts w:hint="eastAsia" w:hAnsi="宋体" w:cs="宋体"/>
          <w:sz w:val="24"/>
          <w:szCs w:val="24"/>
        </w:rPr>
      </w:pPr>
      <w:bookmarkStart w:id="22" w:name="_Toc183582210"/>
      <w:bookmarkStart w:id="23" w:name="_Toc183682347"/>
      <w:bookmarkStart w:id="24" w:name="_Toc217446039"/>
      <w:r>
        <w:rPr>
          <w:rFonts w:hint="eastAsia" w:hAnsi="宋体" w:cs="宋体"/>
          <w:sz w:val="24"/>
          <w:szCs w:val="24"/>
        </w:rPr>
        <w:t>1.招标文件的构成</w:t>
      </w:r>
      <w:bookmarkEnd w:id="22"/>
      <w:bookmarkEnd w:id="23"/>
      <w:bookmarkEnd w:id="24"/>
    </w:p>
    <w:p>
      <w:pPr>
        <w:pStyle w:val="5"/>
        <w:snapToGrid w:val="0"/>
        <w:spacing w:before="0" w:after="0" w:line="360" w:lineRule="auto"/>
        <w:ind w:firstLine="480" w:firstLineChars="200"/>
        <w:rPr>
          <w:rFonts w:hAnsi="宋体" w:cs="宋体"/>
          <w:b w:val="0"/>
          <w:sz w:val="24"/>
          <w:szCs w:val="24"/>
        </w:rPr>
      </w:pPr>
      <w:r>
        <w:rPr>
          <w:rFonts w:hint="eastAsia" w:hAnsi="宋体" w:cs="宋体"/>
          <w:b w:val="0"/>
          <w:sz w:val="24"/>
          <w:szCs w:val="24"/>
        </w:rPr>
        <w:t>1.1本招标文件包括以下内容：</w:t>
      </w:r>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（1）投标邀请；</w:t>
      </w:r>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（2）投标人须知；</w:t>
      </w:r>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（3）投标文件格式；</w:t>
      </w:r>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（4）招标项目技术、商务及其他要求；</w:t>
      </w:r>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（5）评标办法；</w:t>
      </w:r>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（6）合同主要条款；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1.2投标人应认真阅读和充分理解招标文件中所有的事项、格式条款和规范要求。投标人没有对招标文件全面做出实质性响应是投标人的风险。没有按照招标文件要求作出实质性响应的投标文件将被拒绝。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482" w:firstLineChars="200"/>
        <w:rPr>
          <w:rFonts w:hAnsi="宋体" w:cs="宋体"/>
          <w:sz w:val="24"/>
          <w:szCs w:val="24"/>
        </w:rPr>
      </w:pPr>
      <w:bookmarkStart w:id="25" w:name="_Toc183682348"/>
      <w:bookmarkStart w:id="26" w:name="_Toc183582211"/>
      <w:bookmarkStart w:id="27" w:name="_Toc217446040"/>
      <w:r>
        <w:rPr>
          <w:rFonts w:hint="eastAsia" w:hAnsi="宋体" w:cs="宋体"/>
          <w:sz w:val="24"/>
          <w:szCs w:val="24"/>
        </w:rPr>
        <w:t>2.招标文件的澄清</w:t>
      </w:r>
      <w:bookmarkEnd w:id="25"/>
      <w:bookmarkEnd w:id="26"/>
      <w:r>
        <w:rPr>
          <w:rFonts w:hint="eastAsia" w:hAnsi="宋体" w:cs="宋体"/>
          <w:sz w:val="24"/>
          <w:szCs w:val="24"/>
        </w:rPr>
        <w:t>和修改</w:t>
      </w:r>
      <w:bookmarkEnd w:id="27"/>
    </w:p>
    <w:p>
      <w:pPr>
        <w:pStyle w:val="5"/>
        <w:snapToGrid w:val="0"/>
        <w:spacing w:before="0" w:after="0" w:line="360" w:lineRule="auto"/>
        <w:ind w:firstLine="480" w:firstLineChars="200"/>
        <w:rPr>
          <w:rFonts w:hAnsi="宋体" w:cs="宋体"/>
          <w:b w:val="0"/>
          <w:sz w:val="24"/>
          <w:szCs w:val="24"/>
        </w:rPr>
      </w:pPr>
      <w:r>
        <w:rPr>
          <w:rFonts w:hint="eastAsia" w:hAnsi="宋体" w:cs="宋体"/>
          <w:b w:val="0"/>
          <w:sz w:val="24"/>
          <w:szCs w:val="24"/>
        </w:rPr>
        <w:t>2.1在投标截止时间前，招标采购单位可以对招标文件进行澄清或者修改。</w:t>
      </w:r>
    </w:p>
    <w:p>
      <w:pPr>
        <w:pStyle w:val="5"/>
        <w:snapToGrid w:val="0"/>
        <w:spacing w:before="0" w:after="0" w:line="360" w:lineRule="auto"/>
        <w:ind w:firstLine="480" w:firstLineChars="200"/>
        <w:rPr>
          <w:rFonts w:hAnsi="宋体" w:cs="宋体"/>
          <w:b w:val="0"/>
          <w:sz w:val="24"/>
          <w:szCs w:val="24"/>
        </w:rPr>
      </w:pPr>
      <w:r>
        <w:rPr>
          <w:rFonts w:hint="eastAsia" w:hAnsi="宋体" w:cs="宋体"/>
          <w:b w:val="0"/>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8" w:name="_Toc77400780"/>
      <w:bookmarkStart w:id="29" w:name="_Toc89075876"/>
      <w:bookmarkStart w:id="30" w:name="_Toc183582214"/>
      <w:bookmarkStart w:id="31" w:name="_Toc217446042"/>
      <w:bookmarkStart w:id="32" w:name="_Toc183682351"/>
      <w:r>
        <w:rPr>
          <w:rFonts w:hint="eastAsia" w:ascii="宋体" w:hAnsi="宋体" w:eastAsia="宋体" w:cs="宋体"/>
          <w:sz w:val="30"/>
          <w:szCs w:val="30"/>
        </w:rPr>
        <w:t>三、投标文件</w:t>
      </w:r>
      <w:bookmarkEnd w:id="28"/>
      <w:bookmarkEnd w:id="29"/>
      <w:bookmarkEnd w:id="30"/>
      <w:bookmarkEnd w:id="31"/>
      <w:bookmarkEnd w:id="32"/>
      <w:bookmarkStart w:id="33" w:name="_Toc217446043"/>
      <w:bookmarkStart w:id="34" w:name="_Toc183682352"/>
      <w:bookmarkStart w:id="35" w:name="_Toc183582215"/>
    </w:p>
    <w:p>
      <w:pPr>
        <w:pStyle w:val="4"/>
        <w:snapToGrid w:val="0"/>
        <w:spacing w:before="0" w:after="0" w:line="360" w:lineRule="auto"/>
        <w:ind w:firstLine="482" w:firstLineChars="200"/>
        <w:jc w:val="left"/>
        <w:rPr>
          <w:rFonts w:ascii="宋体" w:hAnsi="宋体" w:eastAsia="宋体" w:cs="宋体"/>
          <w:sz w:val="30"/>
          <w:szCs w:val="30"/>
        </w:rPr>
      </w:pPr>
      <w:r>
        <w:rPr>
          <w:rFonts w:hint="eastAsia" w:ascii="宋体" w:hAnsi="宋体" w:eastAsia="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bookmarkStart w:id="36" w:name="_Toc217446045"/>
    </w:p>
    <w:p>
      <w:pPr>
        <w:snapToGrid w:val="0"/>
        <w:spacing w:line="360" w:lineRule="auto"/>
        <w:ind w:firstLine="482" w:firstLineChars="200"/>
        <w:rPr>
          <w:rFonts w:hAnsi="宋体" w:cs="宋体"/>
          <w:b/>
          <w:sz w:val="24"/>
          <w:szCs w:val="24"/>
        </w:rPr>
      </w:pPr>
      <w:r>
        <w:rPr>
          <w:rFonts w:hint="eastAsia" w:hAnsi="宋体" w:cs="宋体"/>
          <w:b/>
          <w:sz w:val="24"/>
          <w:szCs w:val="24"/>
        </w:rPr>
        <w:t>4. 投标货币</w:t>
      </w:r>
      <w:bookmarkEnd w:id="36"/>
    </w:p>
    <w:p>
      <w:pPr>
        <w:snapToGrid w:val="0"/>
        <w:spacing w:line="360" w:lineRule="auto"/>
        <w:ind w:firstLine="480" w:firstLineChars="200"/>
        <w:rPr>
          <w:rFonts w:hAnsi="宋体" w:cs="宋体"/>
          <w:sz w:val="24"/>
          <w:szCs w:val="24"/>
        </w:rPr>
      </w:pPr>
      <w:r>
        <w:rPr>
          <w:rFonts w:hint="eastAsia" w:hAnsi="宋体" w:cs="宋体"/>
          <w:sz w:val="24"/>
          <w:szCs w:val="24"/>
        </w:rPr>
        <w:t>本次招标项目的投标均以人民币报价。</w:t>
      </w:r>
      <w:bookmarkStart w:id="37" w:name="_Toc217446047"/>
    </w:p>
    <w:p>
      <w:pPr>
        <w:snapToGrid w:val="0"/>
        <w:spacing w:line="360" w:lineRule="auto"/>
        <w:ind w:firstLine="482" w:firstLineChars="200"/>
        <w:rPr>
          <w:rFonts w:hAnsi="宋体" w:cs="宋体"/>
          <w:b/>
          <w:sz w:val="24"/>
          <w:szCs w:val="24"/>
        </w:rPr>
      </w:pPr>
      <w:r>
        <w:rPr>
          <w:rFonts w:hint="eastAsia" w:hAnsi="宋体" w:cs="宋体"/>
          <w:b/>
          <w:sz w:val="24"/>
          <w:szCs w:val="24"/>
        </w:rPr>
        <w:t>5.知识产权</w:t>
      </w:r>
      <w:bookmarkEnd w:id="37"/>
    </w:p>
    <w:p>
      <w:pPr>
        <w:pStyle w:val="8"/>
        <w:snapToGrid w:val="0"/>
        <w:spacing w:line="360" w:lineRule="auto"/>
        <w:ind w:firstLine="484" w:firstLineChars="202"/>
        <w:rPr>
          <w:rFonts w:ascii="宋体" w:hAnsi="宋体" w:cs="宋体"/>
          <w:sz w:val="24"/>
          <w:szCs w:val="24"/>
        </w:rPr>
      </w:pPr>
      <w:r>
        <w:rPr>
          <w:rFonts w:hint="eastAsia" w:hAnsi="宋体" w:cs="宋体"/>
          <w:sz w:val="24"/>
          <w:szCs w:val="24"/>
        </w:rPr>
        <w:t>5.1</w:t>
      </w:r>
      <w:r>
        <w:rPr>
          <w:rFonts w:hint="eastAsia" w:ascii="宋体" w:hAnsi="宋体" w:cs="宋体"/>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snapToGrid w:val="0"/>
        <w:spacing w:line="360" w:lineRule="auto"/>
        <w:ind w:firstLine="484" w:firstLineChars="202"/>
        <w:rPr>
          <w:rFonts w:ascii="宋体" w:hAnsi="宋体" w:cs="宋体"/>
          <w:sz w:val="24"/>
          <w:szCs w:val="24"/>
        </w:rPr>
      </w:pPr>
      <w:r>
        <w:rPr>
          <w:rFonts w:hint="eastAsia" w:hAnsi="宋体" w:cs="宋体"/>
          <w:sz w:val="24"/>
          <w:szCs w:val="24"/>
        </w:rPr>
        <w:t>5.2</w:t>
      </w:r>
      <w:r>
        <w:rPr>
          <w:rFonts w:hint="eastAsia" w:ascii="宋体" w:hAnsi="宋体" w:cs="宋体"/>
          <w:sz w:val="24"/>
          <w:szCs w:val="24"/>
        </w:rPr>
        <w:t>采购人享有本项目实施过程中产生的知识成果及知识产权。</w:t>
      </w:r>
    </w:p>
    <w:p>
      <w:pPr>
        <w:pStyle w:val="5"/>
        <w:snapToGrid w:val="0"/>
        <w:spacing w:before="0" w:after="0" w:line="360" w:lineRule="auto"/>
        <w:ind w:firstLine="482" w:firstLineChars="200"/>
        <w:rPr>
          <w:rFonts w:hAnsi="宋体" w:cs="宋体"/>
          <w:sz w:val="24"/>
          <w:szCs w:val="24"/>
        </w:rPr>
      </w:pPr>
      <w:bookmarkStart w:id="38" w:name="_Toc183682354"/>
      <w:bookmarkStart w:id="39" w:name="_Toc183582217"/>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217446049"/>
      <w:bookmarkStart w:id="44" w:name="_Toc183682355"/>
      <w:bookmarkStart w:id="45" w:name="_Toc183582218"/>
      <w:r>
        <w:rPr>
          <w:rFonts w:hint="eastAsia" w:hAnsi="宋体" w:cs="宋体"/>
          <w:sz w:val="24"/>
          <w:szCs w:val="24"/>
        </w:rPr>
        <w:t>。</w:t>
      </w:r>
    </w:p>
    <w:p>
      <w:pPr>
        <w:pStyle w:val="5"/>
        <w:snapToGrid w:val="0"/>
        <w:spacing w:before="0" w:after="0" w:line="360" w:lineRule="auto"/>
        <w:ind w:firstLine="480" w:firstLineChars="200"/>
        <w:rPr>
          <w:rFonts w:hAnsi="宋体" w:cs="宋体"/>
          <w:sz w:val="24"/>
          <w:szCs w:val="24"/>
        </w:rPr>
      </w:pPr>
      <w:r>
        <w:rPr>
          <w:rFonts w:hint="eastAsia" w:hAnsi="宋体" w:cs="宋体"/>
          <w:b w:val="0"/>
          <w:kern w:val="2"/>
          <w:sz w:val="24"/>
          <w:szCs w:val="24"/>
        </w:rPr>
        <w:t>投标文件包括：</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482" w:firstLineChars="200"/>
        <w:rPr>
          <w:rFonts w:hint="eastAsia" w:hAnsi="宋体" w:cs="宋体"/>
          <w:sz w:val="24"/>
          <w:szCs w:val="24"/>
        </w:rPr>
      </w:pPr>
      <w:r>
        <w:rPr>
          <w:rFonts w:hint="eastAsia" w:hAnsi="宋体" w:cs="宋体"/>
          <w:sz w:val="24"/>
          <w:szCs w:val="24"/>
        </w:rPr>
        <w:t>7.投标文件的说明。</w:t>
      </w:r>
    </w:p>
    <w:p>
      <w:pPr>
        <w:pStyle w:val="5"/>
        <w:snapToGrid w:val="0"/>
        <w:spacing w:before="0" w:after="0" w:line="360" w:lineRule="auto"/>
        <w:ind w:firstLine="480" w:firstLineChars="200"/>
        <w:rPr>
          <w:rFonts w:hAnsi="宋体" w:cs="宋体"/>
          <w:b w:val="0"/>
          <w:sz w:val="24"/>
          <w:szCs w:val="24"/>
        </w:rPr>
      </w:pPr>
      <w:r>
        <w:rPr>
          <w:rFonts w:hint="eastAsia" w:hAnsi="宋体" w:cs="宋体"/>
          <w:b w:val="0"/>
          <w:sz w:val="24"/>
          <w:szCs w:val="24"/>
        </w:rPr>
        <w:t>7.1报价部分。投标人按照招标文件要求填写“投标报价表”及“分项报价明细表”。 本次招标报价要求：</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8"/>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482" w:firstLineChars="20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8.2 对于没有格式要求的投标文件由投标人自行编写。</w:t>
      </w:r>
      <w:bookmarkStart w:id="46" w:name="_Toc183682361"/>
      <w:bookmarkStart w:id="47" w:name="_Toc217446051"/>
      <w:bookmarkStart w:id="48" w:name="_Toc183582224"/>
    </w:p>
    <w:p>
      <w:pPr>
        <w:tabs>
          <w:tab w:val="left" w:pos="7665"/>
        </w:tabs>
        <w:snapToGrid w:val="0"/>
        <w:spacing w:line="360" w:lineRule="auto"/>
        <w:ind w:firstLine="482" w:firstLineChars="200"/>
        <w:rPr>
          <w:rFonts w:hAnsi="宋体" w:cs="宋体"/>
          <w:b/>
          <w:sz w:val="24"/>
          <w:szCs w:val="24"/>
        </w:rPr>
      </w:pPr>
      <w:r>
        <w:rPr>
          <w:rFonts w:hint="eastAsia" w:hAnsi="宋体" w:cs="宋体"/>
          <w:b/>
          <w:sz w:val="24"/>
          <w:szCs w:val="24"/>
        </w:rPr>
        <w:t>9.投标有效期</w:t>
      </w:r>
      <w:bookmarkEnd w:id="46"/>
      <w:bookmarkEnd w:id="47"/>
      <w:bookmarkEnd w:id="48"/>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投标有效期为开标后 30天。</w:t>
      </w:r>
      <w:bookmarkStart w:id="49" w:name="_Toc183682363"/>
      <w:bookmarkStart w:id="50" w:name="_Toc183582226"/>
      <w:bookmarkStart w:id="51" w:name="_Toc89075877"/>
      <w:bookmarkStart w:id="52" w:name="_Toc77400781"/>
      <w:bookmarkStart w:id="53" w:name="_Toc217446053"/>
    </w:p>
    <w:p>
      <w:pPr>
        <w:tabs>
          <w:tab w:val="left" w:pos="7665"/>
        </w:tabs>
        <w:snapToGrid w:val="0"/>
        <w:spacing w:line="360" w:lineRule="auto"/>
        <w:ind w:firstLine="482" w:firstLineChars="200"/>
        <w:rPr>
          <w:rFonts w:hAnsi="宋体" w:cs="宋体"/>
          <w:b/>
          <w:sz w:val="24"/>
          <w:szCs w:val="24"/>
        </w:rPr>
      </w:pPr>
      <w:r>
        <w:rPr>
          <w:rFonts w:hint="eastAsia" w:hAnsi="宋体" w:cs="宋体"/>
          <w:b/>
          <w:sz w:val="24"/>
          <w:szCs w:val="24"/>
        </w:rPr>
        <w:t>10. 投标文件的密封和标</w:t>
      </w:r>
      <w:bookmarkEnd w:id="49"/>
      <w:bookmarkEnd w:id="50"/>
      <w:bookmarkEnd w:id="51"/>
      <w:bookmarkEnd w:id="52"/>
      <w:r>
        <w:rPr>
          <w:rFonts w:hint="eastAsia" w:hAnsi="宋体" w:cs="宋体"/>
          <w:b/>
          <w:sz w:val="24"/>
          <w:szCs w:val="24"/>
        </w:rPr>
        <w:t>注</w:t>
      </w:r>
      <w:bookmarkEnd w:id="53"/>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 xml:space="preserve">10.3 未按以上要求进行密封和标注的投标文件将被拒绝。 </w:t>
      </w:r>
      <w:bookmarkStart w:id="54" w:name="_Toc183682364"/>
      <w:bookmarkStart w:id="55" w:name="_Toc183582227"/>
      <w:bookmarkStart w:id="56" w:name="_Toc217446054"/>
    </w:p>
    <w:p>
      <w:pPr>
        <w:tabs>
          <w:tab w:val="left" w:pos="7665"/>
        </w:tabs>
        <w:snapToGrid w:val="0"/>
        <w:spacing w:line="360" w:lineRule="auto"/>
        <w:ind w:firstLine="482" w:firstLineChars="200"/>
        <w:rPr>
          <w:rFonts w:hAnsi="宋体" w:cs="宋体"/>
          <w:b/>
          <w:sz w:val="24"/>
          <w:szCs w:val="24"/>
        </w:rPr>
      </w:pPr>
      <w:r>
        <w:rPr>
          <w:rFonts w:hint="eastAsia" w:hAnsi="宋体" w:cs="宋体"/>
          <w:b/>
          <w:sz w:val="24"/>
          <w:szCs w:val="24"/>
        </w:rPr>
        <w:t>11.投标文件的</w:t>
      </w:r>
      <w:bookmarkEnd w:id="54"/>
      <w:bookmarkEnd w:id="55"/>
      <w:r>
        <w:rPr>
          <w:rFonts w:hint="eastAsia" w:hAnsi="宋体" w:cs="宋体"/>
          <w:b/>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482" w:firstLineChars="200"/>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77400782"/>
      <w:bookmarkStart w:id="61" w:name="_Toc183582231"/>
      <w:bookmarkStart w:id="62" w:name="_Toc217446056"/>
      <w:bookmarkStart w:id="63" w:name="_Toc183682368"/>
      <w:bookmarkStart w:id="64" w:name="_Toc89075878"/>
    </w:p>
    <w:p>
      <w:pPr>
        <w:pStyle w:val="2"/>
      </w:pPr>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582232"/>
      <w:bookmarkStart w:id="66" w:name="_Toc217446057"/>
      <w:bookmarkStart w:id="67" w:name="_Toc183682369"/>
    </w:p>
    <w:p>
      <w:pPr>
        <w:tabs>
          <w:tab w:val="left" w:pos="1095"/>
        </w:tabs>
        <w:snapToGrid w:val="0"/>
        <w:spacing w:line="360" w:lineRule="auto"/>
        <w:ind w:firstLine="482" w:firstLineChars="200"/>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523" w:firstLineChars="217"/>
        <w:rPr>
          <w:rFonts w:hAnsi="宋体" w:cs="宋体"/>
          <w:sz w:val="24"/>
          <w:szCs w:val="24"/>
        </w:rPr>
      </w:pPr>
      <w:r>
        <w:rPr>
          <w:rFonts w:hint="eastAsia" w:hAnsi="宋体" w:cs="宋体"/>
          <w:sz w:val="24"/>
          <w:szCs w:val="24"/>
        </w:rPr>
        <w:t>14．评标</w:t>
      </w:r>
    </w:p>
    <w:p>
      <w:pPr>
        <w:snapToGrid w:val="0"/>
        <w:spacing w:line="360" w:lineRule="auto"/>
        <w:ind w:firstLine="480" w:firstLineChars="20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523" w:firstLineChars="21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4"/>
        <w:snapToGrid w:val="0"/>
        <w:spacing w:before="0" w:after="0" w:line="360" w:lineRule="auto"/>
        <w:ind w:firstLine="482" w:firstLineChars="200"/>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16.4 中标人在合同签订之后5个工作日内，将签订的合同原件（三份）送采购人。</w:t>
      </w:r>
      <w:bookmarkStart w:id="75" w:name="_Toc217446069"/>
    </w:p>
    <w:p>
      <w:pPr>
        <w:tabs>
          <w:tab w:val="left" w:pos="7665"/>
        </w:tabs>
        <w:snapToGrid w:val="0"/>
        <w:spacing w:line="360" w:lineRule="auto"/>
        <w:ind w:firstLine="482" w:firstLineChars="200"/>
        <w:rPr>
          <w:rFonts w:hAnsi="宋体" w:cs="宋体"/>
          <w:b/>
          <w:sz w:val="24"/>
          <w:szCs w:val="24"/>
        </w:rPr>
      </w:pPr>
      <w:r>
        <w:rPr>
          <w:rFonts w:hint="eastAsia" w:hAnsi="宋体" w:cs="宋体"/>
          <w:b/>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17.2 在合同履行过程中，如发生合同纠纷，合同双方应按照《合同法》争议解决条款的有关规定进行处理。</w:t>
      </w:r>
      <w:bookmarkStart w:id="76" w:name="_Toc217446070"/>
    </w:p>
    <w:p>
      <w:pPr>
        <w:tabs>
          <w:tab w:val="left" w:pos="7665"/>
        </w:tabs>
        <w:snapToGrid w:val="0"/>
        <w:spacing w:line="360" w:lineRule="auto"/>
        <w:ind w:firstLine="482" w:firstLineChars="200"/>
        <w:rPr>
          <w:rFonts w:hAnsi="宋体" w:cs="宋体"/>
          <w:b/>
          <w:sz w:val="24"/>
          <w:szCs w:val="24"/>
        </w:rPr>
      </w:pPr>
      <w:r>
        <w:rPr>
          <w:rFonts w:hint="eastAsia" w:hAnsi="宋体" w:cs="宋体"/>
          <w:b/>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中标人与采购人按照招标项目技术、商务及其他要求（参见第四章）进行验收，采购人也可依据合同自行组织验收。</w:t>
      </w:r>
    </w:p>
    <w:bookmarkEnd w:id="77"/>
    <w:p>
      <w:pPr>
        <w:pStyle w:val="4"/>
        <w:snapToGrid w:val="0"/>
        <w:spacing w:before="0" w:after="0" w:line="360" w:lineRule="auto"/>
        <w:jc w:val="center"/>
        <w:rPr>
          <w:rFonts w:hint="eastAsia" w:ascii="宋体" w:hAnsi="宋体" w:eastAsia="宋体" w:cs="宋体"/>
          <w:sz w:val="30"/>
          <w:szCs w:val="30"/>
        </w:rPr>
      </w:pPr>
      <w:r>
        <w:rPr>
          <w:rFonts w:hint="eastAsia" w:ascii="宋体" w:hAnsi="宋体" w:eastAsia="宋体" w:cs="宋体"/>
          <w:sz w:val="30"/>
          <w:szCs w:val="30"/>
        </w:rPr>
        <w:t>六、投标纪律要求</w:t>
      </w:r>
      <w:bookmarkEnd w:id="78"/>
      <w:bookmarkStart w:id="81" w:name="_Toc217446075"/>
    </w:p>
    <w:p>
      <w:pPr>
        <w:pStyle w:val="4"/>
        <w:snapToGrid w:val="0"/>
        <w:spacing w:before="0" w:after="0" w:line="360" w:lineRule="auto"/>
        <w:ind w:firstLine="482" w:firstLineChars="200"/>
        <w:jc w:val="left"/>
        <w:rPr>
          <w:rFonts w:ascii="宋体" w:hAnsi="宋体" w:eastAsia="宋体" w:cs="宋体"/>
          <w:sz w:val="30"/>
          <w:szCs w:val="30"/>
        </w:rPr>
      </w:pPr>
      <w:r>
        <w:rPr>
          <w:rFonts w:hint="eastAsia" w:ascii="宋体" w:hAnsi="宋体" w:eastAsia="宋体" w:cs="宋体"/>
          <w:sz w:val="24"/>
          <w:szCs w:val="24"/>
        </w:rPr>
        <w:t>9. 投标人不得具有的情形</w:t>
      </w:r>
      <w:bookmarkEnd w:id="81"/>
    </w:p>
    <w:p>
      <w:pPr>
        <w:pStyle w:val="2"/>
        <w:snapToGrid w:val="0"/>
        <w:spacing w:line="360" w:lineRule="auto"/>
        <w:ind w:firstLine="520" w:firstLineChars="217"/>
        <w:rPr>
          <w:rFonts w:hint="eastAsia" w:hAnsi="宋体" w:cs="宋体"/>
          <w:sz w:val="24"/>
        </w:rPr>
      </w:pPr>
      <w:r>
        <w:rPr>
          <w:rFonts w:hint="eastAsia" w:hAnsi="宋体" w:cs="宋体"/>
          <w:sz w:val="24"/>
        </w:rPr>
        <w:t>投标人参加投标不得有下列情形：</w:t>
      </w:r>
    </w:p>
    <w:p>
      <w:pPr>
        <w:pStyle w:val="2"/>
        <w:snapToGrid w:val="0"/>
        <w:spacing w:line="360" w:lineRule="auto"/>
        <w:ind w:firstLine="520" w:firstLineChars="217"/>
        <w:rPr>
          <w:rFonts w:hint="eastAsia" w:hAnsi="宋体" w:cs="宋体"/>
          <w:sz w:val="24"/>
        </w:rPr>
      </w:pPr>
      <w:r>
        <w:rPr>
          <w:rFonts w:hint="eastAsia" w:hAnsi="宋体" w:cs="宋体"/>
          <w:sz w:val="24"/>
        </w:rPr>
        <w:t>（1）提供虚假材料谋取中标；</w:t>
      </w:r>
    </w:p>
    <w:p>
      <w:pPr>
        <w:pStyle w:val="2"/>
        <w:snapToGrid w:val="0"/>
        <w:spacing w:line="360" w:lineRule="auto"/>
        <w:ind w:firstLine="520" w:firstLineChars="217"/>
        <w:rPr>
          <w:rFonts w:hint="eastAsia" w:hAnsi="宋体" w:cs="宋体"/>
          <w:sz w:val="24"/>
        </w:rPr>
      </w:pPr>
      <w:r>
        <w:rPr>
          <w:rFonts w:hint="eastAsia" w:hAnsi="宋体" w:cs="宋体"/>
          <w:sz w:val="24"/>
        </w:rPr>
        <w:t>（2）采取不正当手段诋毁、排挤其他投标人；</w:t>
      </w:r>
    </w:p>
    <w:p>
      <w:pPr>
        <w:pStyle w:val="2"/>
        <w:snapToGrid w:val="0"/>
        <w:spacing w:line="360" w:lineRule="auto"/>
        <w:ind w:firstLine="520" w:firstLineChars="217"/>
        <w:rPr>
          <w:rFonts w:hint="eastAsia" w:hAnsi="宋体" w:cs="宋体"/>
          <w:sz w:val="24"/>
        </w:rPr>
      </w:pPr>
      <w:r>
        <w:rPr>
          <w:rFonts w:hint="eastAsia" w:hAnsi="宋体" w:cs="宋体"/>
          <w:sz w:val="24"/>
        </w:rPr>
        <w:t>（3）与招标采购单位、其他投标人恶意串通；</w:t>
      </w:r>
    </w:p>
    <w:p>
      <w:pPr>
        <w:pStyle w:val="2"/>
        <w:snapToGrid w:val="0"/>
        <w:spacing w:line="360" w:lineRule="auto"/>
        <w:ind w:firstLine="520" w:firstLineChars="217"/>
        <w:rPr>
          <w:rFonts w:hint="eastAsia" w:hAnsi="宋体" w:cs="宋体"/>
          <w:sz w:val="24"/>
        </w:rPr>
      </w:pPr>
      <w:r>
        <w:rPr>
          <w:rFonts w:hint="eastAsia" w:hAnsi="宋体" w:cs="宋体"/>
          <w:sz w:val="24"/>
        </w:rPr>
        <w:t>（4）向招标采购单位、采购小组成员行贿或者提供其他不正当利益；</w:t>
      </w:r>
    </w:p>
    <w:p>
      <w:pPr>
        <w:pStyle w:val="2"/>
        <w:snapToGrid w:val="0"/>
        <w:spacing w:line="360" w:lineRule="auto"/>
        <w:ind w:firstLine="520" w:firstLineChars="217"/>
        <w:rPr>
          <w:rFonts w:hint="eastAsia" w:hAnsi="宋体" w:cs="宋体"/>
          <w:sz w:val="24"/>
        </w:rPr>
      </w:pPr>
      <w:r>
        <w:rPr>
          <w:rFonts w:hint="eastAsia" w:hAnsi="宋体" w:cs="宋体"/>
          <w:sz w:val="24"/>
        </w:rPr>
        <w:t>（5）在招标过程中与招标采购单位进行协商谈判；</w:t>
      </w:r>
    </w:p>
    <w:p>
      <w:pPr>
        <w:pStyle w:val="2"/>
        <w:snapToGrid w:val="0"/>
        <w:spacing w:line="360" w:lineRule="auto"/>
        <w:ind w:firstLine="520" w:firstLineChars="217"/>
        <w:rPr>
          <w:rFonts w:hint="eastAsia" w:hAnsi="宋体" w:cs="宋体"/>
          <w:sz w:val="24"/>
        </w:rPr>
      </w:pPr>
      <w:r>
        <w:rPr>
          <w:rFonts w:hint="eastAsia" w:hAnsi="宋体" w:cs="宋体"/>
          <w:sz w:val="24"/>
        </w:rPr>
        <w:t>（6）拒绝有关部门的监督检查或者向监督检查部门提供虚假情况。</w:t>
      </w:r>
    </w:p>
    <w:p>
      <w:pPr>
        <w:pStyle w:val="2"/>
        <w:snapToGrid w:val="0"/>
        <w:spacing w:line="360" w:lineRule="auto"/>
        <w:ind w:firstLine="520" w:firstLineChars="21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int="eastAsia" w:hAnsi="宋体" w:cs="宋体"/>
          <w:b/>
          <w:bCs/>
          <w:sz w:val="30"/>
          <w:szCs w:val="30"/>
        </w:rPr>
      </w:pPr>
      <w:bookmarkStart w:id="82" w:name="_Toc217446078"/>
      <w:r>
        <w:rPr>
          <w:rFonts w:hint="eastAsia" w:hAnsi="宋体" w:cs="宋体"/>
          <w:b/>
          <w:bCs/>
          <w:sz w:val="30"/>
          <w:szCs w:val="30"/>
        </w:rPr>
        <w:t>七、质疑</w:t>
      </w:r>
      <w:bookmarkEnd w:id="82"/>
    </w:p>
    <w:p>
      <w:pPr>
        <w:pStyle w:val="10"/>
        <w:snapToGrid w:val="0"/>
        <w:spacing w:line="360" w:lineRule="auto"/>
        <w:ind w:firstLine="631" w:firstLineChars="262"/>
        <w:jc w:val="left"/>
        <w:rPr>
          <w:rFonts w:hint="eastAsia" w:hAnsi="宋体" w:cs="宋体"/>
          <w:b/>
          <w:sz w:val="24"/>
          <w:szCs w:val="24"/>
        </w:rPr>
      </w:pPr>
      <w:r>
        <w:rPr>
          <w:rFonts w:hint="eastAsia" w:hAnsi="宋体" w:cs="宋体"/>
          <w:b/>
          <w:sz w:val="24"/>
          <w:szCs w:val="24"/>
        </w:rPr>
        <w:t>20.质疑</w:t>
      </w:r>
      <w:bookmarkEnd w:id="79"/>
      <w:bookmarkEnd w:id="80"/>
    </w:p>
    <w:p>
      <w:pPr>
        <w:pStyle w:val="10"/>
        <w:snapToGrid w:val="0"/>
        <w:spacing w:line="360" w:lineRule="auto"/>
        <w:ind w:firstLine="628" w:firstLineChars="262"/>
        <w:jc w:val="left"/>
        <w:rPr>
          <w:rFonts w:hAnsi="宋体" w:cs="宋体"/>
          <w:b/>
          <w:bCs/>
          <w:sz w:val="30"/>
          <w:szCs w:val="30"/>
        </w:rPr>
      </w:pPr>
      <w:r>
        <w:rPr>
          <w:rFonts w:hint="eastAsia" w:hAnsi="宋体" w:cs="宋体"/>
          <w:sz w:val="24"/>
        </w:rPr>
        <w:t>在招标投标过程中，如有任何质疑，可向四川铁道职业学院纪检监察室询问，联系电话：028-68939875。</w:t>
      </w:r>
      <w:bookmarkStart w:id="83"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ind w:firstLine="3012" w:firstLineChars="1000"/>
        <w:rPr>
          <w:rFonts w:hAnsi="宋体" w:cs="宋体"/>
          <w:sz w:val="30"/>
          <w:szCs w:val="30"/>
        </w:rPr>
      </w:pPr>
      <w:r>
        <w:rPr>
          <w:rFonts w:hint="eastAsia" w:hAnsi="宋体" w:cs="宋体"/>
          <w:sz w:val="30"/>
          <w:szCs w:val="30"/>
        </w:rPr>
        <w:t>第三章 投标文件格式</w:t>
      </w:r>
      <w:bookmarkEnd w:id="83"/>
    </w:p>
    <w:p>
      <w:pPr>
        <w:pStyle w:val="4"/>
        <w:snapToGrid w:val="0"/>
        <w:spacing w:before="0" w:after="0" w:line="360" w:lineRule="auto"/>
        <w:ind w:firstLine="3213" w:firstLineChars="1000"/>
        <w:rPr>
          <w:rFonts w:ascii="宋体" w:hAnsi="宋体" w:eastAsia="宋体" w:cs="宋体"/>
        </w:rPr>
      </w:pPr>
      <w:bookmarkStart w:id="84" w:name="_Toc217446082"/>
      <w:r>
        <w:rPr>
          <w:rFonts w:hint="eastAsia" w:ascii="宋体" w:hAnsi="宋体" w:eastAsia="宋体" w:cs="宋体"/>
        </w:rPr>
        <w:t>一、投 标 函</w:t>
      </w:r>
      <w:bookmarkEnd w:id="84"/>
    </w:p>
    <w:p>
      <w:pPr>
        <w:pStyle w:val="10"/>
        <w:snapToGrid w:val="0"/>
        <w:spacing w:line="348" w:lineRule="auto"/>
        <w:ind w:hanging="1"/>
        <w:jc w:val="left"/>
        <w:rPr>
          <w:rFonts w:hAnsi="宋体" w:cs="宋体"/>
          <w:bCs/>
          <w:sz w:val="24"/>
          <w:szCs w:val="24"/>
        </w:rPr>
      </w:pPr>
      <w:bookmarkStart w:id="85"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5"/>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6" w:name="_Toc256175382"/>
      <w:bookmarkStart w:id="87" w:name="_Toc263753600"/>
      <w:bookmarkStart w:id="88" w:name="_Toc297204985"/>
      <w:bookmarkStart w:id="89" w:name="_Toc237145385"/>
      <w:bookmarkStart w:id="90" w:name="_Toc263768864"/>
      <w:bookmarkStart w:id="91" w:name="_Toc250041691"/>
      <w:bookmarkStart w:id="92" w:name="_Toc217446085"/>
    </w:p>
    <w:bookmarkEnd w:id="86"/>
    <w:bookmarkEnd w:id="87"/>
    <w:bookmarkEnd w:id="88"/>
    <w:bookmarkEnd w:id="89"/>
    <w:bookmarkEnd w:id="90"/>
    <w:bookmarkEnd w:id="91"/>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2"/>
    <w:p>
      <w:pPr>
        <w:pStyle w:val="4"/>
        <w:keepNext w:val="0"/>
        <w:keepLines w:val="0"/>
        <w:snapToGrid w:val="0"/>
        <w:spacing w:before="0" w:after="0"/>
        <w:jc w:val="center"/>
        <w:rPr>
          <w:rFonts w:ascii="仿宋_GB2312" w:eastAsia="仿宋_GB2312"/>
        </w:rPr>
      </w:pPr>
      <w:bookmarkStart w:id="93" w:name="_Toc123786888"/>
      <w:bookmarkStart w:id="94" w:name="_Toc315963014"/>
      <w:r>
        <w:rPr>
          <w:rFonts w:hint="eastAsia" w:ascii="宋体" w:hAnsi="宋体" w:eastAsia="宋体" w:cs="宋体"/>
        </w:rPr>
        <w:t>三、投标</w:t>
      </w:r>
      <w:bookmarkEnd w:id="93"/>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60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60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60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60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4"/>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5"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5"/>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664"/>
        <w:gridCol w:w="3000"/>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2664"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00"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582"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64" w:type="dxa"/>
          </w:tcPr>
          <w:p>
            <w:pPr>
              <w:snapToGrid w:val="0"/>
              <w:spacing w:line="360" w:lineRule="auto"/>
              <w:jc w:val="left"/>
              <w:rPr>
                <w:rFonts w:hAnsi="宋体" w:cs="宋体"/>
                <w:sz w:val="24"/>
                <w:szCs w:val="24"/>
              </w:rPr>
            </w:pPr>
          </w:p>
        </w:tc>
        <w:tc>
          <w:tcPr>
            <w:tcW w:w="3000" w:type="dxa"/>
          </w:tcPr>
          <w:p>
            <w:pPr>
              <w:snapToGrid w:val="0"/>
              <w:spacing w:line="360" w:lineRule="auto"/>
              <w:jc w:val="left"/>
              <w:rPr>
                <w:rFonts w:hAnsi="宋体" w:cs="宋体"/>
                <w:sz w:val="24"/>
                <w:szCs w:val="24"/>
              </w:rPr>
            </w:pPr>
          </w:p>
        </w:tc>
        <w:tc>
          <w:tcPr>
            <w:tcW w:w="2582"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64" w:type="dxa"/>
          </w:tcPr>
          <w:p>
            <w:pPr>
              <w:snapToGrid w:val="0"/>
              <w:spacing w:line="360" w:lineRule="auto"/>
              <w:jc w:val="left"/>
              <w:rPr>
                <w:rFonts w:hAnsi="宋体" w:cs="宋体"/>
                <w:sz w:val="24"/>
                <w:szCs w:val="24"/>
              </w:rPr>
            </w:pPr>
          </w:p>
        </w:tc>
        <w:tc>
          <w:tcPr>
            <w:tcW w:w="3000" w:type="dxa"/>
          </w:tcPr>
          <w:p>
            <w:pPr>
              <w:snapToGrid w:val="0"/>
              <w:spacing w:line="360" w:lineRule="auto"/>
              <w:jc w:val="left"/>
              <w:rPr>
                <w:rFonts w:hAnsi="宋体" w:cs="宋体"/>
                <w:sz w:val="24"/>
                <w:szCs w:val="24"/>
              </w:rPr>
            </w:pPr>
          </w:p>
        </w:tc>
        <w:tc>
          <w:tcPr>
            <w:tcW w:w="258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64" w:type="dxa"/>
          </w:tcPr>
          <w:p>
            <w:pPr>
              <w:snapToGrid w:val="0"/>
              <w:spacing w:line="360" w:lineRule="auto"/>
              <w:jc w:val="left"/>
              <w:rPr>
                <w:rFonts w:hAnsi="宋体" w:cs="宋体"/>
                <w:sz w:val="24"/>
                <w:szCs w:val="24"/>
              </w:rPr>
            </w:pPr>
          </w:p>
        </w:tc>
        <w:tc>
          <w:tcPr>
            <w:tcW w:w="3000" w:type="dxa"/>
          </w:tcPr>
          <w:p>
            <w:pPr>
              <w:snapToGrid w:val="0"/>
              <w:spacing w:line="360" w:lineRule="auto"/>
              <w:jc w:val="left"/>
              <w:rPr>
                <w:rFonts w:hAnsi="宋体" w:cs="宋体"/>
                <w:sz w:val="24"/>
                <w:szCs w:val="24"/>
              </w:rPr>
            </w:pPr>
          </w:p>
        </w:tc>
        <w:tc>
          <w:tcPr>
            <w:tcW w:w="258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64" w:type="dxa"/>
          </w:tcPr>
          <w:p>
            <w:pPr>
              <w:snapToGrid w:val="0"/>
              <w:spacing w:line="360" w:lineRule="auto"/>
              <w:jc w:val="left"/>
              <w:rPr>
                <w:rFonts w:hAnsi="宋体" w:cs="宋体"/>
                <w:sz w:val="24"/>
                <w:szCs w:val="24"/>
              </w:rPr>
            </w:pPr>
          </w:p>
        </w:tc>
        <w:tc>
          <w:tcPr>
            <w:tcW w:w="3000" w:type="dxa"/>
          </w:tcPr>
          <w:p>
            <w:pPr>
              <w:snapToGrid w:val="0"/>
              <w:spacing w:line="360" w:lineRule="auto"/>
              <w:jc w:val="left"/>
              <w:rPr>
                <w:rFonts w:hAnsi="宋体" w:cs="宋体"/>
                <w:sz w:val="24"/>
                <w:szCs w:val="24"/>
              </w:rPr>
            </w:pPr>
          </w:p>
        </w:tc>
        <w:tc>
          <w:tcPr>
            <w:tcW w:w="2582"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ind w:firstLine="512" w:firstLineChars="150"/>
        <w:jc w:val="left"/>
        <w:rPr>
          <w:rFonts w:hAnsi="宋体" w:cs="宋体"/>
          <w:b/>
        </w:rPr>
      </w:pPr>
      <w:r>
        <w:rPr>
          <w:rFonts w:hint="eastAsia" w:hAnsi="宋体" w:cs="宋体"/>
          <w:b/>
        </w:rPr>
        <w:t>七、投标人认为有必要补充说明的相关信息</w:t>
      </w:r>
    </w:p>
    <w:p>
      <w:pPr>
        <w:adjustRightInd w:val="0"/>
        <w:snapToGrid w:val="0"/>
        <w:spacing w:line="360" w:lineRule="auto"/>
        <w:jc w:val="left"/>
        <w:rPr>
          <w:rFonts w:hAnsi="宋体" w:cs="宋体"/>
          <w:b/>
          <w:bCs/>
          <w:spacing w:val="8"/>
          <w:sz w:val="24"/>
          <w:szCs w:val="24"/>
        </w:rPr>
        <w:sectPr>
          <w:pgSz w:w="11906" w:h="16838"/>
          <w:pgMar w:top="1083" w:right="1440" w:bottom="1083" w:left="1440" w:header="851" w:footer="992" w:gutter="0"/>
          <w:cols w:space="720" w:num="1"/>
          <w:docGrid w:type="lines" w:linePitch="473" w:charSpace="0"/>
        </w:sectPr>
      </w:pPr>
    </w:p>
    <w:p>
      <w:pPr>
        <w:pStyle w:val="3"/>
        <w:snapToGrid w:val="0"/>
        <w:spacing w:before="0" w:afterLines="60" w:line="360" w:lineRule="auto"/>
        <w:jc w:val="center"/>
        <w:rPr>
          <w:rFonts w:hAnsi="宋体"/>
          <w:sz w:val="32"/>
          <w:szCs w:val="32"/>
        </w:rPr>
      </w:pPr>
      <w:bookmarkStart w:id="96" w:name="_Hlk42504294"/>
    </w:p>
    <w:bookmarkEnd w:id="96"/>
    <w:p>
      <w:pPr>
        <w:pStyle w:val="3"/>
        <w:snapToGrid w:val="0"/>
        <w:spacing w:before="0" w:afterLines="60" w:line="360" w:lineRule="auto"/>
        <w:jc w:val="center"/>
        <w:rPr>
          <w:rFonts w:hAnsi="宋体"/>
          <w:sz w:val="32"/>
          <w:szCs w:val="32"/>
        </w:rPr>
      </w:pPr>
      <w:r>
        <w:rPr>
          <w:rFonts w:hint="eastAsia" w:hAnsi="宋体"/>
          <w:sz w:val="32"/>
          <w:szCs w:val="32"/>
        </w:rPr>
        <w:t>第四章  招标项目技术、商务及其他要求</w:t>
      </w:r>
    </w:p>
    <w:p>
      <w:pPr>
        <w:adjustRightInd w:val="0"/>
        <w:snapToGrid w:val="0"/>
        <w:spacing w:line="360" w:lineRule="auto"/>
        <w:ind w:firstLine="483" w:firstLineChars="188"/>
        <w:jc w:val="left"/>
        <w:rPr>
          <w:rFonts w:hAnsi="宋体" w:cs="宋体"/>
          <w:b/>
          <w:bCs/>
          <w:spacing w:val="8"/>
          <w:sz w:val="24"/>
          <w:szCs w:val="24"/>
        </w:rPr>
      </w:pPr>
      <w:r>
        <w:rPr>
          <w:rFonts w:hint="eastAsia" w:hAnsi="宋体" w:cs="宋体"/>
          <w:b/>
          <w:bCs/>
          <w:spacing w:val="8"/>
          <w:sz w:val="24"/>
          <w:szCs w:val="24"/>
        </w:rPr>
        <w:t>一、项目基本情况</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职工体检系我校每年均要开展的常规工作，本次采购四川铁道职业学院内江校区2022年教职工体检服务，将选择确定一家医院为成交供应商。</w:t>
      </w:r>
    </w:p>
    <w:p>
      <w:pPr>
        <w:spacing w:line="312" w:lineRule="atLeast"/>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 xml:space="preserve">    二、服务内容</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w:t>
      </w:r>
      <w:r>
        <w:rPr>
          <w:rFonts w:hint="eastAsia" w:hAnsi="宋体" w:cs="仿宋"/>
          <w:sz w:val="24"/>
          <w:szCs w:val="24"/>
          <w:lang w:val="zh-TW" w:eastAsia="zh-TW"/>
        </w:rPr>
        <w:t>体检日程安排应充分考虑受检人教师的工作特点，提前沟通、衔接，以便于教师调课、上课，以及体检接送安排。</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2.</w:t>
      </w:r>
      <w:r>
        <w:rPr>
          <w:rFonts w:hint="eastAsia" w:hAnsi="宋体" w:cs="仿宋"/>
          <w:sz w:val="24"/>
          <w:szCs w:val="24"/>
          <w:lang w:val="zh-TW" w:eastAsia="zh-TW"/>
        </w:rPr>
        <w:t>所检项目无遗漏，重要指标检出异常严重情况时，应在24小时内通知采购方联系人及本人，并尽快安排进行复查。</w:t>
      </w:r>
    </w:p>
    <w:p>
      <w:pPr>
        <w:ind w:firstLine="480" w:firstLineChars="200"/>
        <w:jc w:val="left"/>
        <w:rPr>
          <w:rFonts w:hAnsi="宋体" w:cs="仿宋"/>
          <w:sz w:val="24"/>
          <w:szCs w:val="24"/>
          <w:lang w:val="zh-TW" w:eastAsia="zh-TW"/>
        </w:rPr>
      </w:pPr>
      <w:r>
        <w:rPr>
          <w:rFonts w:hint="eastAsia" w:hAnsi="宋体" w:cs="仿宋"/>
          <w:sz w:val="24"/>
          <w:szCs w:val="24"/>
          <w:lang w:val="zh-TW"/>
        </w:rPr>
        <w:t>3.</w:t>
      </w:r>
      <w:r>
        <w:rPr>
          <w:rFonts w:hint="eastAsia" w:hAnsi="宋体" w:cs="仿宋"/>
          <w:sz w:val="24"/>
          <w:szCs w:val="24"/>
          <w:lang w:val="zh-TW" w:eastAsia="zh-TW"/>
        </w:rPr>
        <w:t>发现重大疾病，12小时内通知，并视情况安排在三甲医院或以上挂号、预约、住院及就医等绿色通道服务。</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4.</w:t>
      </w:r>
      <w:r>
        <w:rPr>
          <w:rFonts w:hint="eastAsia" w:hAnsi="宋体" w:cs="仿宋"/>
          <w:sz w:val="24"/>
          <w:szCs w:val="24"/>
          <w:lang w:val="zh-TW" w:eastAsia="zh-TW"/>
        </w:rPr>
        <w:t>体检报告（个人的、单位的报告）除进行常规的数据分析外，应提供相应的保健知识，以及个性化的健康促进计划，并针对性地提供后续讲座或培训等活动。</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5.</w:t>
      </w:r>
      <w:r>
        <w:rPr>
          <w:rFonts w:hint="eastAsia" w:hAnsi="宋体" w:cs="仿宋"/>
          <w:sz w:val="24"/>
          <w:szCs w:val="24"/>
          <w:lang w:val="zh-TW" w:eastAsia="zh-TW"/>
        </w:rPr>
        <w:t>体检结束后，供应商需为受检者做一次或以上体检结果解读和健康辅导。</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6.</w:t>
      </w:r>
      <w:r>
        <w:rPr>
          <w:rFonts w:hint="eastAsia" w:hAnsi="宋体" w:cs="仿宋"/>
          <w:sz w:val="24"/>
          <w:szCs w:val="24"/>
          <w:lang w:val="zh-TW" w:eastAsia="zh-TW"/>
        </w:rPr>
        <w:t>供应商在收到采购人全部体检金额三个工作日内，向采购人送达体检报告（报告类型分为纸质和电子版本，纸质版体检报告应当密封完好）。</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7.</w:t>
      </w:r>
      <w:r>
        <w:rPr>
          <w:rFonts w:hint="eastAsia" w:hAnsi="宋体" w:cs="仿宋"/>
          <w:sz w:val="24"/>
          <w:szCs w:val="24"/>
          <w:lang w:val="zh-TW" w:eastAsia="zh-TW"/>
        </w:rPr>
        <w:t>服务质量要求：供应商承诺保证向采购人提供专场体检时间，不得与其他单位交叉，每天的体检人数应控制在适当的范围内，以确保服务流程顺畅，保障对每一名受检人员的体检服务质量。（提供承诺函，格式自拟）</w:t>
      </w:r>
    </w:p>
    <w:p>
      <w:pPr>
        <w:ind w:firstLine="480" w:firstLineChars="200"/>
        <w:jc w:val="left"/>
        <w:rPr>
          <w:rFonts w:hAnsi="宋体" w:cs="仿宋"/>
          <w:sz w:val="24"/>
          <w:szCs w:val="24"/>
          <w:lang w:val="zh-TW" w:eastAsia="zh-TW"/>
        </w:rPr>
      </w:pPr>
      <w:r>
        <w:rPr>
          <w:rFonts w:hint="eastAsia" w:hAnsi="宋体" w:cs="仿宋"/>
          <w:sz w:val="24"/>
          <w:szCs w:val="24"/>
          <w:lang w:val="zh-TW"/>
        </w:rPr>
        <w:t>8.</w:t>
      </w:r>
      <w:r>
        <w:rPr>
          <w:rFonts w:hint="eastAsia" w:hAnsi="宋体" w:cs="仿宋"/>
          <w:sz w:val="24"/>
          <w:szCs w:val="24"/>
          <w:lang w:val="zh-TW" w:eastAsia="zh-TW"/>
        </w:rPr>
        <w:t>尽可能能提供体检专场，体检需安排专车往返接送全部参检人员。</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9.</w:t>
      </w:r>
      <w:r>
        <w:rPr>
          <w:rFonts w:hint="eastAsia" w:hAnsi="宋体" w:cs="仿宋"/>
          <w:sz w:val="24"/>
          <w:szCs w:val="24"/>
          <w:lang w:val="zh-TW" w:eastAsia="zh-TW"/>
        </w:rPr>
        <w:t>教职工家属享受同等体检折扣。</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10.</w:t>
      </w:r>
      <w:r>
        <w:rPr>
          <w:rFonts w:hint="eastAsia" w:hAnsi="宋体" w:cs="仿宋"/>
          <w:sz w:val="24"/>
          <w:szCs w:val="24"/>
          <w:lang w:val="zh-TW" w:eastAsia="zh-TW"/>
        </w:rPr>
        <w:t>保障能力要求：</w:t>
      </w:r>
    </w:p>
    <w:p>
      <w:pPr>
        <w:ind w:firstLine="480" w:firstLineChars="200"/>
        <w:jc w:val="left"/>
        <w:rPr>
          <w:rFonts w:hAnsi="宋体" w:cs="仿宋"/>
          <w:sz w:val="24"/>
          <w:szCs w:val="24"/>
          <w:lang w:val="zh-TW" w:eastAsia="zh-TW"/>
        </w:rPr>
      </w:pPr>
      <w:r>
        <w:rPr>
          <w:rFonts w:hint="eastAsia" w:hAnsi="宋体" w:cs="仿宋"/>
          <w:sz w:val="24"/>
          <w:szCs w:val="24"/>
          <w:lang w:val="zh-TW"/>
        </w:rPr>
        <w:t>10.1</w:t>
      </w:r>
      <w:r>
        <w:rPr>
          <w:rFonts w:hint="eastAsia" w:hAnsi="宋体" w:cs="仿宋"/>
          <w:sz w:val="24"/>
          <w:szCs w:val="24"/>
          <w:lang w:val="zh-TW" w:eastAsia="zh-TW"/>
        </w:rPr>
        <w:t>有独立的体检中心或体检场所（不接受体检车或临时搭建场所体检）。</w:t>
      </w:r>
    </w:p>
    <w:p>
      <w:pPr>
        <w:ind w:firstLine="480" w:firstLineChars="200"/>
        <w:jc w:val="left"/>
        <w:rPr>
          <w:rFonts w:hAnsi="宋体" w:cs="仿宋"/>
          <w:sz w:val="24"/>
          <w:szCs w:val="24"/>
          <w:lang w:val="zh-TW" w:eastAsia="zh-TW"/>
        </w:rPr>
      </w:pPr>
      <w:r>
        <w:rPr>
          <w:rFonts w:hint="eastAsia" w:hAnsi="宋体" w:cs="仿宋"/>
          <w:sz w:val="24"/>
          <w:szCs w:val="24"/>
          <w:lang w:val="zh-TW"/>
        </w:rPr>
        <w:t>10.2</w:t>
      </w:r>
      <w:r>
        <w:rPr>
          <w:rFonts w:hint="eastAsia" w:hAnsi="宋体" w:cs="仿宋"/>
          <w:sz w:val="24"/>
          <w:szCs w:val="24"/>
          <w:lang w:val="zh-TW" w:eastAsia="zh-TW"/>
        </w:rPr>
        <w:t>供应商应保证体检日的体检安排在上午进行（根据采购人安排，若有特殊情况可安排在下午）。</w:t>
      </w:r>
    </w:p>
    <w:p>
      <w:pPr>
        <w:ind w:firstLine="480" w:firstLineChars="200"/>
        <w:jc w:val="left"/>
        <w:rPr>
          <w:rFonts w:hAnsi="宋体" w:cs="仿宋"/>
          <w:sz w:val="24"/>
          <w:szCs w:val="24"/>
          <w:lang w:val="zh-TW" w:eastAsia="zh-TW"/>
        </w:rPr>
      </w:pPr>
      <w:r>
        <w:rPr>
          <w:rFonts w:hint="eastAsia" w:hAnsi="宋体" w:cs="仿宋"/>
          <w:sz w:val="24"/>
          <w:szCs w:val="24"/>
          <w:lang w:val="zh-TW"/>
        </w:rPr>
        <w:t>10.3</w:t>
      </w:r>
      <w:r>
        <w:rPr>
          <w:rFonts w:hint="eastAsia" w:hAnsi="宋体" w:cs="仿宋"/>
          <w:sz w:val="24"/>
          <w:szCs w:val="24"/>
          <w:lang w:val="zh-TW" w:eastAsia="zh-TW"/>
        </w:rPr>
        <w:t>供应商应为参检人员提供体检早餐。（费用包含在本次报价中）</w:t>
      </w:r>
    </w:p>
    <w:p>
      <w:pPr>
        <w:ind w:firstLine="480" w:firstLineChars="200"/>
        <w:jc w:val="left"/>
        <w:rPr>
          <w:rFonts w:hAnsi="宋体" w:cs="仿宋"/>
          <w:sz w:val="24"/>
          <w:szCs w:val="24"/>
          <w:lang w:val="zh-TW" w:eastAsia="zh-TW"/>
        </w:rPr>
      </w:pPr>
      <w:r>
        <w:rPr>
          <w:rFonts w:hint="eastAsia" w:hAnsi="宋体" w:cs="仿宋"/>
          <w:sz w:val="24"/>
          <w:szCs w:val="24"/>
          <w:lang w:val="zh-TW"/>
        </w:rPr>
        <w:t>10.4</w:t>
      </w:r>
      <w:r>
        <w:rPr>
          <w:rFonts w:hint="eastAsia" w:hAnsi="宋体" w:cs="仿宋"/>
          <w:sz w:val="24"/>
          <w:szCs w:val="24"/>
          <w:lang w:val="zh-TW" w:eastAsia="zh-TW"/>
        </w:rPr>
        <w:t>供应商应根据采购人需求协调安排体检时间，并保证体检的工作顺利开展。体检人员因工作原因未能参加体检，供应商须为其安排补检时间。</w:t>
      </w:r>
    </w:p>
    <w:p>
      <w:pPr>
        <w:ind w:firstLine="480" w:firstLineChars="200"/>
        <w:jc w:val="left"/>
        <w:rPr>
          <w:rFonts w:hAnsi="宋体" w:cs="仿宋"/>
          <w:sz w:val="24"/>
          <w:szCs w:val="24"/>
          <w:lang w:val="zh-TW" w:eastAsia="zh-TW"/>
        </w:rPr>
      </w:pPr>
      <w:r>
        <w:rPr>
          <w:rFonts w:hint="eastAsia" w:hAnsi="宋体" w:cs="仿宋"/>
          <w:sz w:val="24"/>
          <w:szCs w:val="24"/>
          <w:lang w:val="zh-TW"/>
        </w:rPr>
        <w:t>10.5</w:t>
      </w:r>
      <w:r>
        <w:rPr>
          <w:rFonts w:hint="eastAsia" w:hAnsi="宋体" w:cs="仿宋"/>
          <w:sz w:val="24"/>
          <w:szCs w:val="24"/>
          <w:lang w:val="zh-TW" w:eastAsia="zh-TW"/>
        </w:rPr>
        <w:t>确保体检人员在每一个环节的隐私保护；按照采购人提供的体检人员名单进行体检，认真核对受检者身份（要求出具身份证），不能出现冒名顶替现象。</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11.</w:t>
      </w:r>
      <w:r>
        <w:rPr>
          <w:rFonts w:hint="eastAsia" w:hAnsi="宋体" w:cs="仿宋"/>
          <w:sz w:val="24"/>
          <w:szCs w:val="24"/>
          <w:lang w:val="zh-TW" w:eastAsia="zh-TW"/>
        </w:rPr>
        <w:t>基本主要体检设备配置要求：</w:t>
      </w:r>
    </w:p>
    <w:p>
      <w:pPr>
        <w:ind w:firstLine="480" w:firstLineChars="200"/>
        <w:jc w:val="left"/>
        <w:rPr>
          <w:rFonts w:hAnsi="宋体" w:cs="仿宋"/>
          <w:sz w:val="24"/>
          <w:szCs w:val="24"/>
          <w:lang w:val="zh-TW" w:eastAsia="zh-TW"/>
        </w:rPr>
      </w:pPr>
      <w:r>
        <w:rPr>
          <w:rFonts w:hint="eastAsia" w:hAnsi="宋体" w:cs="仿宋"/>
          <w:sz w:val="24"/>
          <w:szCs w:val="24"/>
          <w:lang w:val="zh-TW"/>
        </w:rPr>
        <w:t>11.1</w:t>
      </w:r>
      <w:r>
        <w:rPr>
          <w:rFonts w:hint="eastAsia" w:hAnsi="宋体" w:cs="仿宋"/>
          <w:sz w:val="24"/>
          <w:szCs w:val="24"/>
          <w:lang w:val="zh-TW" w:eastAsia="zh-TW"/>
        </w:rPr>
        <w:t>供应商须为本项目配备符合国家医疗标准的设备：彩超</w:t>
      </w:r>
      <w:r>
        <w:rPr>
          <w:rFonts w:hint="eastAsia" w:hAnsi="宋体" w:cs="仿宋"/>
          <w:sz w:val="24"/>
          <w:szCs w:val="24"/>
          <w:lang w:val="zh-TW"/>
        </w:rPr>
        <w:t>3</w:t>
      </w:r>
      <w:r>
        <w:rPr>
          <w:rFonts w:hint="eastAsia" w:hAnsi="宋体" w:cs="仿宋"/>
          <w:sz w:val="24"/>
          <w:szCs w:val="24"/>
          <w:lang w:val="zh-TW" w:eastAsia="zh-TW"/>
        </w:rPr>
        <w:t>台，CT仪1台。</w:t>
      </w:r>
    </w:p>
    <w:p>
      <w:pPr>
        <w:ind w:firstLine="480" w:firstLineChars="200"/>
        <w:jc w:val="left"/>
        <w:rPr>
          <w:rFonts w:hAnsi="宋体" w:cs="仿宋"/>
          <w:sz w:val="24"/>
          <w:szCs w:val="24"/>
          <w:lang w:val="zh-TW" w:eastAsia="zh-TW"/>
        </w:rPr>
      </w:pPr>
      <w:r>
        <w:rPr>
          <w:rFonts w:hint="eastAsia" w:hAnsi="宋体" w:cs="仿宋"/>
          <w:sz w:val="24"/>
          <w:szCs w:val="24"/>
          <w:lang w:val="zh-TW"/>
        </w:rPr>
        <w:t>11.2</w:t>
      </w:r>
      <w:r>
        <w:rPr>
          <w:rFonts w:hint="eastAsia" w:hAnsi="宋体" w:cs="仿宋"/>
          <w:sz w:val="24"/>
          <w:szCs w:val="24"/>
          <w:lang w:val="zh-TW" w:eastAsia="zh-TW"/>
        </w:rPr>
        <w:t>重要体检项目（生化检查、彩超检查、CT放射检查等）所使用的设备要求采用专业设备。</w:t>
      </w:r>
    </w:p>
    <w:p>
      <w:pPr>
        <w:ind w:firstLine="480" w:firstLineChars="200"/>
        <w:jc w:val="left"/>
        <w:rPr>
          <w:rFonts w:hAnsi="宋体" w:cs="仿宋"/>
          <w:sz w:val="24"/>
          <w:szCs w:val="24"/>
          <w:lang w:val="zh-TW" w:eastAsia="zh-TW"/>
        </w:rPr>
      </w:pPr>
      <w:r>
        <w:rPr>
          <w:rFonts w:hint="eastAsia" w:hAnsi="宋体" w:cs="仿宋"/>
          <w:sz w:val="24"/>
          <w:szCs w:val="24"/>
          <w:lang w:val="zh-TW"/>
        </w:rPr>
        <w:t>11.3</w:t>
      </w:r>
      <w:r>
        <w:rPr>
          <w:rFonts w:hint="eastAsia" w:hAnsi="宋体" w:cs="仿宋"/>
          <w:sz w:val="24"/>
          <w:szCs w:val="24"/>
          <w:lang w:val="zh-TW" w:eastAsia="zh-TW"/>
        </w:rPr>
        <w:t>本项目所需的医疗检查设备与检验仪器的种类、数量、性能、量程、精度能满足工作需要，并能良好运行，定期校验，仪器设备有完整的操作规程。</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12</w:t>
      </w:r>
      <w:r>
        <w:rPr>
          <w:rFonts w:hint="eastAsia" w:hAnsi="宋体" w:cs="仿宋"/>
          <w:sz w:val="24"/>
          <w:szCs w:val="24"/>
          <w:lang w:val="zh-TW" w:eastAsia="zh-TW"/>
        </w:rPr>
        <w:t>人员要求：</w:t>
      </w:r>
    </w:p>
    <w:p>
      <w:pPr>
        <w:ind w:firstLine="480" w:firstLineChars="200"/>
        <w:jc w:val="left"/>
        <w:rPr>
          <w:rFonts w:hAnsi="宋体" w:cs="仿宋"/>
          <w:sz w:val="24"/>
          <w:szCs w:val="24"/>
          <w:lang w:val="zh-TW" w:eastAsia="zh-TW"/>
        </w:rPr>
      </w:pPr>
      <w:r>
        <w:rPr>
          <w:rFonts w:hint="eastAsia" w:hAnsi="宋体" w:cs="仿宋"/>
          <w:sz w:val="24"/>
          <w:szCs w:val="24"/>
          <w:lang w:val="zh-TW"/>
        </w:rPr>
        <w:t>12.1</w:t>
      </w:r>
      <w:r>
        <w:rPr>
          <w:rFonts w:hint="eastAsia" w:hAnsi="宋体" w:cs="仿宋"/>
          <w:sz w:val="24"/>
          <w:szCs w:val="24"/>
          <w:lang w:val="zh-TW" w:eastAsia="zh-TW"/>
        </w:rPr>
        <w:t>为本项目配置的医疗技术人员：</w:t>
      </w:r>
    </w:p>
    <w:p>
      <w:pPr>
        <w:ind w:firstLine="480" w:firstLineChars="200"/>
        <w:jc w:val="left"/>
        <w:rPr>
          <w:rFonts w:hAnsi="宋体" w:cs="仿宋"/>
          <w:sz w:val="24"/>
          <w:szCs w:val="24"/>
          <w:lang w:val="zh-TW"/>
        </w:rPr>
      </w:pPr>
      <w:r>
        <w:rPr>
          <w:rFonts w:hint="eastAsia" w:hAnsi="宋体" w:cs="仿宋"/>
          <w:sz w:val="24"/>
          <w:szCs w:val="24"/>
          <w:lang w:val="zh-TW" w:eastAsia="zh-TW"/>
        </w:rPr>
        <w:t>具有2名内科</w:t>
      </w:r>
      <w:r>
        <w:rPr>
          <w:rFonts w:hint="eastAsia" w:hAnsi="宋体" w:cs="仿宋"/>
          <w:sz w:val="24"/>
          <w:szCs w:val="24"/>
          <w:lang w:val="zh-TW"/>
        </w:rPr>
        <w:t>及</w:t>
      </w:r>
      <w:r>
        <w:rPr>
          <w:rFonts w:hint="eastAsia" w:hAnsi="宋体" w:cs="仿宋"/>
          <w:sz w:val="24"/>
          <w:szCs w:val="24"/>
          <w:lang w:val="zh-TW" w:eastAsia="zh-TW"/>
        </w:rPr>
        <w:t>外科副高（含）以上专业技术职务任职资格的执业医师，每个检查项目具有1名中级（含）以上专业技术职务任职资格的执业医师</w:t>
      </w:r>
      <w:r>
        <w:rPr>
          <w:rFonts w:hint="eastAsia" w:hAnsi="宋体" w:cs="仿宋"/>
          <w:sz w:val="24"/>
          <w:szCs w:val="24"/>
          <w:lang w:val="zh-TW"/>
        </w:rPr>
        <w:t>。</w:t>
      </w:r>
    </w:p>
    <w:p>
      <w:pPr>
        <w:ind w:firstLine="480" w:firstLineChars="200"/>
        <w:jc w:val="left"/>
        <w:rPr>
          <w:rFonts w:hAnsi="宋体" w:cs="仿宋"/>
          <w:sz w:val="24"/>
          <w:szCs w:val="24"/>
          <w:lang w:val="zh-TW" w:eastAsia="zh-TW"/>
        </w:rPr>
      </w:pPr>
      <w:r>
        <w:rPr>
          <w:rFonts w:hint="eastAsia" w:hAnsi="宋体" w:cs="仿宋"/>
          <w:sz w:val="24"/>
          <w:szCs w:val="24"/>
          <w:lang w:val="zh-TW"/>
        </w:rPr>
        <w:t>12.2</w:t>
      </w:r>
      <w:r>
        <w:rPr>
          <w:rFonts w:hint="eastAsia" w:hAnsi="宋体" w:cs="仿宋"/>
          <w:sz w:val="24"/>
          <w:szCs w:val="24"/>
          <w:lang w:val="zh-TW" w:eastAsia="zh-TW"/>
        </w:rPr>
        <w:t>参检的医务人员均须具备国家规定的医师执业资格或护士执业资格（已在供应商单位注册）并在卫生行政管理部门备案（供应商须在响应文件中提供承诺函原件，加盖供应商鲜章）。</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13.</w:t>
      </w:r>
      <w:r>
        <w:rPr>
          <w:rFonts w:hint="eastAsia" w:hAnsi="宋体" w:cs="仿宋"/>
          <w:sz w:val="24"/>
          <w:szCs w:val="24"/>
          <w:lang w:val="zh-TW" w:eastAsia="zh-TW"/>
        </w:rPr>
        <w:t>供应商如为连锁性体检机构，须指定其某一家门店参加本次采购活动。</w:t>
      </w:r>
    </w:p>
    <w:p>
      <w:pPr>
        <w:ind w:firstLine="480" w:firstLineChars="200"/>
        <w:jc w:val="left"/>
        <w:rPr>
          <w:rFonts w:hAnsi="宋体" w:cs="仿宋"/>
          <w:sz w:val="24"/>
          <w:szCs w:val="24"/>
          <w:lang w:val="zh-TW"/>
        </w:rPr>
      </w:pPr>
      <w:r>
        <w:rPr>
          <w:rFonts w:hint="eastAsia" w:hAnsi="宋体" w:cs="仿宋"/>
          <w:sz w:val="24"/>
          <w:szCs w:val="24"/>
          <w:lang w:val="zh-TW" w:eastAsia="zh-TW"/>
        </w:rPr>
        <w:t>★</w:t>
      </w:r>
      <w:r>
        <w:rPr>
          <w:rFonts w:hint="eastAsia" w:hAnsi="宋体" w:cs="仿宋"/>
          <w:sz w:val="24"/>
          <w:szCs w:val="24"/>
          <w:lang w:val="zh-TW"/>
        </w:rPr>
        <w:t>14.</w:t>
      </w:r>
      <w:r>
        <w:rPr>
          <w:rFonts w:hint="eastAsia" w:hAnsi="宋体" w:cs="仿宋"/>
          <w:sz w:val="24"/>
          <w:szCs w:val="24"/>
          <w:lang w:val="zh-TW" w:eastAsia="zh-TW"/>
        </w:rPr>
        <w:t>供应商成交后在合同服务期内不得将采购人教职工体检安排到其分支机构、联营机构、下属机构。</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15.</w:t>
      </w:r>
      <w:r>
        <w:rPr>
          <w:rFonts w:hint="eastAsia" w:hAnsi="宋体" w:cs="仿宋"/>
          <w:sz w:val="24"/>
          <w:szCs w:val="24"/>
          <w:lang w:val="zh-TW" w:eastAsia="zh-TW"/>
        </w:rPr>
        <w:t>具体套餐检查项目为：</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spacing w:val="8"/>
          <w:sz w:val="24"/>
          <w:szCs w:val="24"/>
        </w:rPr>
        <w:t>15.1男性基础套餐（必选）</w:t>
      </w:r>
    </w:p>
    <w:tbl>
      <w:tblPr>
        <w:tblStyle w:val="19"/>
        <w:tblW w:w="8797" w:type="dxa"/>
        <w:tblInd w:w="93" w:type="dxa"/>
        <w:tblLayout w:type="fixed"/>
        <w:tblCellMar>
          <w:top w:w="0" w:type="dxa"/>
          <w:left w:w="108" w:type="dxa"/>
          <w:bottom w:w="0" w:type="dxa"/>
          <w:right w:w="108" w:type="dxa"/>
        </w:tblCellMar>
      </w:tblPr>
      <w:tblGrid>
        <w:gridCol w:w="760"/>
        <w:gridCol w:w="2190"/>
        <w:gridCol w:w="5847"/>
      </w:tblGrid>
      <w:tr>
        <w:tblPrEx>
          <w:tblCellMar>
            <w:top w:w="0" w:type="dxa"/>
            <w:left w:w="108" w:type="dxa"/>
            <w:bottom w:w="0" w:type="dxa"/>
            <w:right w:w="108" w:type="dxa"/>
          </w:tblCellMar>
        </w:tblPrEx>
        <w:trPr>
          <w:trHeight w:val="458"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序号</w:t>
            </w:r>
          </w:p>
        </w:tc>
        <w:tc>
          <w:tcPr>
            <w:tcW w:w="21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项目</w:t>
            </w:r>
          </w:p>
        </w:tc>
        <w:tc>
          <w:tcPr>
            <w:tcW w:w="584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具体内容</w:t>
            </w:r>
          </w:p>
        </w:tc>
      </w:tr>
      <w:tr>
        <w:tblPrEx>
          <w:tblCellMar>
            <w:top w:w="0" w:type="dxa"/>
            <w:left w:w="108" w:type="dxa"/>
            <w:bottom w:w="0" w:type="dxa"/>
            <w:right w:w="108" w:type="dxa"/>
          </w:tblCellMar>
        </w:tblPrEx>
        <w:trPr>
          <w:trHeight w:val="27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一般检查</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判断是否超重、肥胖、消瘦，有无高血压</w:t>
            </w: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内科常规检查</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检查心、肺、肝、脾、神经系统有无异常</w:t>
            </w:r>
          </w:p>
        </w:tc>
      </w:tr>
      <w:tr>
        <w:tblPrEx>
          <w:tblCellMar>
            <w:top w:w="0" w:type="dxa"/>
            <w:left w:w="108" w:type="dxa"/>
            <w:bottom w:w="0" w:type="dxa"/>
            <w:right w:w="108" w:type="dxa"/>
          </w:tblCellMar>
        </w:tblPrEx>
        <w:trPr>
          <w:trHeight w:val="284"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外科常规检查</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检查甲状腺、浅表淋巴结等有无异常</w:t>
            </w:r>
          </w:p>
        </w:tc>
      </w:tr>
      <w:tr>
        <w:tblPrEx>
          <w:tblCellMar>
            <w:top w:w="0" w:type="dxa"/>
            <w:left w:w="108" w:type="dxa"/>
            <w:bottom w:w="0" w:type="dxa"/>
            <w:right w:w="108" w:type="dxa"/>
          </w:tblCellMar>
        </w:tblPrEx>
        <w:trPr>
          <w:trHeight w:val="674"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4</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肝功9项</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检查肝胆代谢功能有无异常，用于检测肝胆疾病，慢性肝损害、胆道梗阻等疾病</w:t>
            </w:r>
          </w:p>
        </w:tc>
      </w:tr>
      <w:tr>
        <w:tblPrEx>
          <w:tblCellMar>
            <w:top w:w="0" w:type="dxa"/>
            <w:left w:w="108" w:type="dxa"/>
            <w:bottom w:w="0" w:type="dxa"/>
            <w:right w:w="108" w:type="dxa"/>
          </w:tblCellMar>
        </w:tblPrEx>
        <w:trPr>
          <w:trHeight w:val="271"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5</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肾功3项</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检查肾脏的代谢、排泄功能是否正常</w:t>
            </w:r>
          </w:p>
        </w:tc>
      </w:tr>
      <w:tr>
        <w:tblPrEx>
          <w:tblCellMar>
            <w:top w:w="0" w:type="dxa"/>
            <w:left w:w="108" w:type="dxa"/>
            <w:bottom w:w="0" w:type="dxa"/>
            <w:right w:w="108" w:type="dxa"/>
          </w:tblCellMar>
        </w:tblPrEx>
        <w:trPr>
          <w:trHeight w:val="361"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6</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血糖2项</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检测糖尿病的基本方法</w:t>
            </w:r>
          </w:p>
        </w:tc>
      </w:tr>
      <w:tr>
        <w:tblPrEx>
          <w:tblCellMar>
            <w:top w:w="0" w:type="dxa"/>
            <w:left w:w="108" w:type="dxa"/>
            <w:bottom w:w="0" w:type="dxa"/>
            <w:right w:w="108" w:type="dxa"/>
          </w:tblCellMar>
        </w:tblPrEx>
        <w:trPr>
          <w:trHeight w:val="696"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7</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血脂6项</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用于血脂代谢紊乱评价、动脉粥样硬化性疾病危险度预测和营养学评价</w:t>
            </w:r>
          </w:p>
        </w:tc>
      </w:tr>
      <w:tr>
        <w:tblPrEx>
          <w:tblCellMar>
            <w:top w:w="0" w:type="dxa"/>
            <w:left w:w="108" w:type="dxa"/>
            <w:bottom w:w="0" w:type="dxa"/>
            <w:right w:w="108" w:type="dxa"/>
          </w:tblCellMar>
        </w:tblPrEx>
        <w:trPr>
          <w:trHeight w:val="408"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8</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血常规</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了解有无感染、贫血、炎症、凝血功能障碍及血液等疾病</w:t>
            </w:r>
          </w:p>
        </w:tc>
      </w:tr>
      <w:tr>
        <w:tblPrEx>
          <w:tblCellMar>
            <w:top w:w="0" w:type="dxa"/>
            <w:left w:w="108" w:type="dxa"/>
            <w:bottom w:w="0" w:type="dxa"/>
            <w:right w:w="108" w:type="dxa"/>
          </w:tblCellMar>
        </w:tblPrEx>
        <w:trPr>
          <w:trHeight w:val="296"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9</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尿常规</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了解有无尿蛋白、尿糖、泌尿系感染等</w:t>
            </w:r>
          </w:p>
        </w:tc>
      </w:tr>
      <w:tr>
        <w:tblPrEx>
          <w:tblCellMar>
            <w:top w:w="0" w:type="dxa"/>
            <w:left w:w="108" w:type="dxa"/>
            <w:bottom w:w="0" w:type="dxa"/>
            <w:right w:w="108" w:type="dxa"/>
          </w:tblCellMar>
        </w:tblPrEx>
        <w:trPr>
          <w:trHeight w:val="24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10</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甲状腺功能</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甲状腺功能评价、甲状腺疾病诊断及治疗监测</w:t>
            </w:r>
          </w:p>
        </w:tc>
      </w:tr>
      <w:tr>
        <w:tblPrEx>
          <w:tblCellMar>
            <w:top w:w="0" w:type="dxa"/>
            <w:left w:w="108" w:type="dxa"/>
            <w:bottom w:w="0" w:type="dxa"/>
            <w:right w:w="108" w:type="dxa"/>
          </w:tblCellMar>
        </w:tblPrEx>
        <w:trPr>
          <w:trHeight w:val="221"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11</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甲胎蛋（AFP）</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主要用于肝癌早期筛查</w:t>
            </w:r>
          </w:p>
        </w:tc>
      </w:tr>
      <w:tr>
        <w:tblPrEx>
          <w:tblCellMar>
            <w:top w:w="0" w:type="dxa"/>
            <w:left w:w="108" w:type="dxa"/>
            <w:bottom w:w="0" w:type="dxa"/>
            <w:right w:w="108" w:type="dxa"/>
          </w:tblCellMar>
        </w:tblPrEx>
        <w:trPr>
          <w:trHeight w:val="311"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12</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癌胚抗（CEA）</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主要用于消化道肿瘤早期筛查</w:t>
            </w:r>
          </w:p>
        </w:tc>
      </w:tr>
      <w:tr>
        <w:tblPrEx>
          <w:tblCellMar>
            <w:top w:w="0" w:type="dxa"/>
            <w:left w:w="108" w:type="dxa"/>
            <w:bottom w:w="0" w:type="dxa"/>
            <w:right w:w="108" w:type="dxa"/>
          </w:tblCellMar>
        </w:tblPrEx>
        <w:trPr>
          <w:trHeight w:val="273"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rPr>
                <w:rFonts w:hAnsi="宋体" w:cs="宋体"/>
                <w:bCs/>
                <w:spacing w:val="8"/>
                <w:sz w:val="24"/>
                <w:szCs w:val="24"/>
              </w:rPr>
            </w:pPr>
            <w:r>
              <w:rPr>
                <w:rFonts w:hint="eastAsia" w:hAnsi="宋体" w:cs="宋体"/>
                <w:bCs/>
                <w:spacing w:val="8"/>
                <w:sz w:val="24"/>
                <w:szCs w:val="24"/>
              </w:rPr>
              <w:t>13</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CA199</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主要用于筛查胰腺癌、胆管癌等</w:t>
            </w:r>
          </w:p>
        </w:tc>
      </w:tr>
      <w:tr>
        <w:tblPrEx>
          <w:tblCellMar>
            <w:top w:w="0" w:type="dxa"/>
            <w:left w:w="108" w:type="dxa"/>
            <w:bottom w:w="0" w:type="dxa"/>
            <w:right w:w="108" w:type="dxa"/>
          </w:tblCellMar>
        </w:tblPrEx>
        <w:trPr>
          <w:trHeight w:val="41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jc w:val="left"/>
              <w:rPr>
                <w:rFonts w:hAnsi="宋体" w:cs="宋体"/>
                <w:bCs/>
                <w:spacing w:val="8"/>
                <w:sz w:val="24"/>
                <w:szCs w:val="24"/>
              </w:rPr>
            </w:pPr>
            <w:r>
              <w:rPr>
                <w:rFonts w:hint="eastAsia" w:hAnsi="宋体" w:cs="宋体"/>
                <w:bCs/>
                <w:spacing w:val="8"/>
                <w:sz w:val="24"/>
                <w:szCs w:val="24"/>
              </w:rPr>
              <w:t>14</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PSA</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前列腺癌的筛查</w:t>
            </w:r>
          </w:p>
        </w:tc>
      </w:tr>
      <w:tr>
        <w:tblPrEx>
          <w:tblCellMar>
            <w:top w:w="0" w:type="dxa"/>
            <w:left w:w="108" w:type="dxa"/>
            <w:bottom w:w="0"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256" w:firstLineChars="100"/>
              <w:jc w:val="left"/>
              <w:rPr>
                <w:rFonts w:hAnsi="宋体" w:cs="宋体"/>
                <w:bCs/>
                <w:spacing w:val="8"/>
                <w:sz w:val="24"/>
                <w:szCs w:val="24"/>
              </w:rPr>
            </w:pPr>
            <w:r>
              <w:rPr>
                <w:rFonts w:hint="eastAsia" w:hAnsi="宋体" w:cs="宋体"/>
                <w:bCs/>
                <w:spacing w:val="8"/>
                <w:sz w:val="24"/>
                <w:szCs w:val="24"/>
              </w:rPr>
              <w:t>15</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幽门螺杆菌C13呼气试验检测</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胃、十二指肠疾病幽门螺杆菌感染诊断，抗幽门螺杆菌药物疗效的评价</w:t>
            </w:r>
          </w:p>
        </w:tc>
      </w:tr>
      <w:tr>
        <w:tblPrEx>
          <w:tblCellMar>
            <w:top w:w="0" w:type="dxa"/>
            <w:left w:w="108" w:type="dxa"/>
            <w:bottom w:w="0" w:type="dxa"/>
            <w:right w:w="108" w:type="dxa"/>
          </w:tblCellMar>
        </w:tblPrEx>
        <w:trPr>
          <w:trHeight w:val="31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16</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12导联心电图</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检查有无心律失常、心肌病变等</w:t>
            </w:r>
          </w:p>
        </w:tc>
      </w:tr>
      <w:tr>
        <w:tblPrEx>
          <w:tblCellMar>
            <w:top w:w="0" w:type="dxa"/>
            <w:left w:w="108" w:type="dxa"/>
            <w:bottom w:w="0" w:type="dxa"/>
            <w:right w:w="108" w:type="dxa"/>
          </w:tblCellMar>
        </w:tblPrEx>
        <w:trPr>
          <w:trHeight w:val="672"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17</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低剂量胸部螺旋CT</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对直径小于1厘米的小肺癌，低剂量螺旋CT的检出阳性率较高</w:t>
            </w:r>
          </w:p>
        </w:tc>
      </w:tr>
      <w:tr>
        <w:tblPrEx>
          <w:tblCellMar>
            <w:top w:w="0" w:type="dxa"/>
            <w:left w:w="108" w:type="dxa"/>
            <w:bottom w:w="0" w:type="dxa"/>
            <w:right w:w="108" w:type="dxa"/>
          </w:tblCellMar>
        </w:tblPrEx>
        <w:trPr>
          <w:trHeight w:val="311"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18</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腹部彩超全套</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 xml:space="preserve">    检查有无占位性病变、脂肪肝、肝胆结石等疾病</w:t>
            </w:r>
          </w:p>
        </w:tc>
      </w:tr>
      <w:tr>
        <w:tblPrEx>
          <w:tblCellMar>
            <w:top w:w="0" w:type="dxa"/>
            <w:left w:w="108" w:type="dxa"/>
            <w:bottom w:w="0" w:type="dxa"/>
            <w:right w:w="108" w:type="dxa"/>
          </w:tblCellMar>
        </w:tblPrEx>
        <w:trPr>
          <w:trHeight w:val="27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19</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甲状腺彩超</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了解甲状腺是否有结节、肿瘤等情况</w:t>
            </w:r>
          </w:p>
        </w:tc>
      </w:tr>
      <w:tr>
        <w:tblPrEx>
          <w:tblCellMar>
            <w:top w:w="0" w:type="dxa"/>
            <w:left w:w="108" w:type="dxa"/>
            <w:bottom w:w="0" w:type="dxa"/>
            <w:right w:w="108" w:type="dxa"/>
          </w:tblCellMar>
        </w:tblPrEx>
        <w:trPr>
          <w:trHeight w:val="61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20</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颈动脉彩超</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了解颈部大血管情况，有无颈动脉硬化、斑块形成、管腔狭窄、畸形等</w:t>
            </w:r>
          </w:p>
        </w:tc>
      </w:tr>
      <w:tr>
        <w:tblPrEx>
          <w:tblCellMar>
            <w:top w:w="0" w:type="dxa"/>
            <w:left w:w="108" w:type="dxa"/>
            <w:bottom w:w="0" w:type="dxa"/>
            <w:right w:w="108" w:type="dxa"/>
          </w:tblCellMar>
        </w:tblPrEx>
        <w:trPr>
          <w:trHeight w:val="49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21</w:t>
            </w:r>
          </w:p>
        </w:tc>
        <w:tc>
          <w:tcPr>
            <w:tcW w:w="219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经颅彩色多普勒</w:t>
            </w:r>
          </w:p>
        </w:tc>
        <w:tc>
          <w:tcPr>
            <w:tcW w:w="5847"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检查颅脑血管有无痉挛、供血不足、狭窄等疾病态及生活环境</w:t>
            </w:r>
          </w:p>
        </w:tc>
      </w:tr>
    </w:tbl>
    <w:p>
      <w:pPr>
        <w:adjustRightInd w:val="0"/>
        <w:snapToGrid w:val="0"/>
        <w:spacing w:line="360" w:lineRule="auto"/>
        <w:ind w:firstLine="512" w:firstLineChars="200"/>
        <w:jc w:val="left"/>
        <w:rPr>
          <w:rFonts w:hAnsi="宋体" w:cs="宋体"/>
          <w:spacing w:val="8"/>
          <w:sz w:val="24"/>
          <w:szCs w:val="24"/>
        </w:rPr>
      </w:pPr>
      <w:r>
        <w:rPr>
          <w:rFonts w:hint="eastAsia" w:hAnsi="宋体" w:cs="宋体"/>
          <w:spacing w:val="8"/>
          <w:sz w:val="24"/>
          <w:szCs w:val="24"/>
        </w:rPr>
        <w:t>15.2女性基础套餐（必选）</w:t>
      </w:r>
    </w:p>
    <w:tbl>
      <w:tblPr>
        <w:tblStyle w:val="19"/>
        <w:tblW w:w="8755" w:type="dxa"/>
        <w:tblInd w:w="93" w:type="dxa"/>
        <w:tblLayout w:type="fixed"/>
        <w:tblCellMar>
          <w:top w:w="0" w:type="dxa"/>
          <w:left w:w="108" w:type="dxa"/>
          <w:bottom w:w="0" w:type="dxa"/>
          <w:right w:w="108" w:type="dxa"/>
        </w:tblCellMar>
      </w:tblPr>
      <w:tblGrid>
        <w:gridCol w:w="662"/>
        <w:gridCol w:w="2400"/>
        <w:gridCol w:w="5693"/>
      </w:tblGrid>
      <w:tr>
        <w:tblPrEx>
          <w:tblCellMar>
            <w:top w:w="0" w:type="dxa"/>
            <w:left w:w="108" w:type="dxa"/>
            <w:bottom w:w="0" w:type="dxa"/>
            <w:right w:w="108" w:type="dxa"/>
          </w:tblCellMar>
        </w:tblPrEx>
        <w:trPr>
          <w:trHeight w:val="526" w:hRule="atLeast"/>
        </w:trPr>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序号</w:t>
            </w:r>
          </w:p>
        </w:tc>
        <w:tc>
          <w:tcPr>
            <w:tcW w:w="240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项目</w:t>
            </w:r>
          </w:p>
        </w:tc>
        <w:tc>
          <w:tcPr>
            <w:tcW w:w="569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具体内容</w:t>
            </w:r>
          </w:p>
        </w:tc>
      </w:tr>
      <w:tr>
        <w:tblPrEx>
          <w:tblCellMar>
            <w:top w:w="0" w:type="dxa"/>
            <w:left w:w="108" w:type="dxa"/>
            <w:bottom w:w="0" w:type="dxa"/>
            <w:right w:w="108" w:type="dxa"/>
          </w:tblCellMar>
        </w:tblPrEx>
        <w:trPr>
          <w:trHeight w:val="372"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一般检查</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判断是否超重、肥胖、消瘦，有无高血压</w:t>
            </w:r>
          </w:p>
        </w:tc>
      </w:tr>
      <w:tr>
        <w:tblPrEx>
          <w:tblCellMar>
            <w:top w:w="0" w:type="dxa"/>
            <w:left w:w="108" w:type="dxa"/>
            <w:bottom w:w="0" w:type="dxa"/>
            <w:right w:w="108" w:type="dxa"/>
          </w:tblCellMar>
        </w:tblPrEx>
        <w:trPr>
          <w:trHeight w:val="40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内科常规检查</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检查心、肺、肝、脾、神经系统有无异常</w:t>
            </w:r>
          </w:p>
        </w:tc>
      </w:tr>
      <w:tr>
        <w:tblPrEx>
          <w:tblCellMar>
            <w:top w:w="0" w:type="dxa"/>
            <w:left w:w="108" w:type="dxa"/>
            <w:bottom w:w="0" w:type="dxa"/>
            <w:right w:w="108" w:type="dxa"/>
          </w:tblCellMar>
        </w:tblPrEx>
        <w:trPr>
          <w:trHeight w:val="42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3</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外科常规检查</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检查甲状腺、浅表淋巴结等有无异常</w:t>
            </w:r>
          </w:p>
        </w:tc>
      </w:tr>
      <w:tr>
        <w:tblPrEx>
          <w:tblCellMar>
            <w:top w:w="0" w:type="dxa"/>
            <w:left w:w="108" w:type="dxa"/>
            <w:bottom w:w="0" w:type="dxa"/>
            <w:right w:w="108" w:type="dxa"/>
          </w:tblCellMar>
        </w:tblPrEx>
        <w:trPr>
          <w:trHeight w:val="55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4</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肝功9项</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检查肝胆代谢功能有无异常，用于检测肝胆疾病，慢性肝损害、胆道梗阻等疾病</w:t>
            </w:r>
          </w:p>
        </w:tc>
      </w:tr>
      <w:tr>
        <w:tblPrEx>
          <w:tblCellMar>
            <w:top w:w="0" w:type="dxa"/>
            <w:left w:w="108" w:type="dxa"/>
            <w:bottom w:w="0" w:type="dxa"/>
            <w:right w:w="108" w:type="dxa"/>
          </w:tblCellMar>
        </w:tblPrEx>
        <w:trPr>
          <w:trHeight w:val="497"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5</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肾功3项</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检查肾脏的代谢、排泄功能是否正常</w:t>
            </w:r>
          </w:p>
        </w:tc>
      </w:tr>
      <w:tr>
        <w:tblPrEx>
          <w:tblCellMar>
            <w:top w:w="0" w:type="dxa"/>
            <w:left w:w="108" w:type="dxa"/>
            <w:bottom w:w="0" w:type="dxa"/>
            <w:right w:w="108" w:type="dxa"/>
          </w:tblCellMar>
        </w:tblPrEx>
        <w:trPr>
          <w:trHeight w:val="40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6</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血糖2项</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检测糖尿病的基本方法</w:t>
            </w:r>
          </w:p>
        </w:tc>
      </w:tr>
      <w:tr>
        <w:tblPrEx>
          <w:tblCellMar>
            <w:top w:w="0" w:type="dxa"/>
            <w:left w:w="108" w:type="dxa"/>
            <w:bottom w:w="0" w:type="dxa"/>
            <w:right w:w="108" w:type="dxa"/>
          </w:tblCellMar>
        </w:tblPrEx>
        <w:trPr>
          <w:trHeight w:val="552"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7</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血脂6项</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用于血脂代谢紊乱评价、动脉粥样硬化性疾病危险度预测和营养学评价</w:t>
            </w:r>
          </w:p>
        </w:tc>
      </w:tr>
      <w:tr>
        <w:tblPrEx>
          <w:tblCellMar>
            <w:top w:w="0" w:type="dxa"/>
            <w:left w:w="108" w:type="dxa"/>
            <w:bottom w:w="0" w:type="dxa"/>
            <w:right w:w="108" w:type="dxa"/>
          </w:tblCellMar>
        </w:tblPrEx>
        <w:trPr>
          <w:trHeight w:val="349"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8</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血常规</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了解有无感染、贫血、炎症、凝血功能障碍及血液等疾病</w:t>
            </w:r>
          </w:p>
        </w:tc>
      </w:tr>
      <w:tr>
        <w:tblPrEx>
          <w:tblCellMar>
            <w:top w:w="0" w:type="dxa"/>
            <w:left w:w="108" w:type="dxa"/>
            <w:bottom w:w="0" w:type="dxa"/>
            <w:right w:w="108" w:type="dxa"/>
          </w:tblCellMar>
        </w:tblPrEx>
        <w:trPr>
          <w:trHeight w:val="411"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9</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尿常规</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了解有无尿蛋白、尿糖、泌尿系感染等</w:t>
            </w:r>
          </w:p>
        </w:tc>
      </w:tr>
      <w:tr>
        <w:tblPrEx>
          <w:tblCellMar>
            <w:top w:w="0" w:type="dxa"/>
            <w:left w:w="108" w:type="dxa"/>
            <w:bottom w:w="0" w:type="dxa"/>
            <w:right w:w="108" w:type="dxa"/>
          </w:tblCellMar>
        </w:tblPrEx>
        <w:trPr>
          <w:trHeight w:val="27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10</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甲状腺功能</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甲状腺功能评价、甲状腺疾病诊断及治疗监测</w:t>
            </w:r>
          </w:p>
        </w:tc>
      </w:tr>
      <w:tr>
        <w:tblPrEx>
          <w:tblCellMar>
            <w:top w:w="0" w:type="dxa"/>
            <w:left w:w="108" w:type="dxa"/>
            <w:bottom w:w="0" w:type="dxa"/>
            <w:right w:w="108" w:type="dxa"/>
          </w:tblCellMar>
        </w:tblPrEx>
        <w:trPr>
          <w:trHeight w:val="251"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11</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甲胎蛋白（AFP）</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主要用于肝癌早期筛查</w:t>
            </w:r>
          </w:p>
        </w:tc>
      </w:tr>
      <w:tr>
        <w:tblPrEx>
          <w:tblCellMar>
            <w:top w:w="0" w:type="dxa"/>
            <w:left w:w="108" w:type="dxa"/>
            <w:bottom w:w="0" w:type="dxa"/>
            <w:right w:w="108" w:type="dxa"/>
          </w:tblCellMar>
        </w:tblPrEx>
        <w:trPr>
          <w:trHeight w:val="341"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12</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癌胚抗原（CEA）</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主要用于消化道肿瘤早期筛查</w:t>
            </w:r>
          </w:p>
        </w:tc>
      </w:tr>
      <w:tr>
        <w:tblPrEx>
          <w:tblCellMar>
            <w:top w:w="0" w:type="dxa"/>
            <w:left w:w="108" w:type="dxa"/>
            <w:bottom w:w="0" w:type="dxa"/>
            <w:right w:w="108" w:type="dxa"/>
          </w:tblCellMar>
        </w:tblPrEx>
        <w:trPr>
          <w:trHeight w:val="27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13</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CA199</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主要用于筛查胰腺癌、胆管癌等</w:t>
            </w:r>
          </w:p>
        </w:tc>
      </w:tr>
      <w:tr>
        <w:tblPrEx>
          <w:tblCellMar>
            <w:top w:w="0" w:type="dxa"/>
            <w:left w:w="108" w:type="dxa"/>
            <w:bottom w:w="0" w:type="dxa"/>
            <w:right w:w="108" w:type="dxa"/>
          </w:tblCellMar>
        </w:tblPrEx>
        <w:trPr>
          <w:trHeight w:val="237"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14</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CA125</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卵巢癌的筛查</w:t>
            </w:r>
          </w:p>
        </w:tc>
      </w:tr>
      <w:tr>
        <w:tblPrEx>
          <w:tblCellMar>
            <w:top w:w="0" w:type="dxa"/>
            <w:left w:w="108" w:type="dxa"/>
            <w:bottom w:w="0" w:type="dxa"/>
            <w:right w:w="108" w:type="dxa"/>
          </w:tblCellMar>
        </w:tblPrEx>
        <w:trPr>
          <w:trHeight w:val="483"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15</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幽门螺杆菌C13呼气试验检测</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胃、十二指肠疾病幽门螺杆菌感染诊断，抗幽门螺杆菌药物疗效的评价</w:t>
            </w:r>
          </w:p>
        </w:tc>
      </w:tr>
      <w:tr>
        <w:tblPrEx>
          <w:tblCellMar>
            <w:top w:w="0" w:type="dxa"/>
            <w:left w:w="108" w:type="dxa"/>
            <w:bottom w:w="0" w:type="dxa"/>
            <w:right w:w="108" w:type="dxa"/>
          </w:tblCellMar>
        </w:tblPrEx>
        <w:trPr>
          <w:trHeight w:val="279"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16</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12导联心电图</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检查有无心律失常、心肌病变等</w:t>
            </w:r>
          </w:p>
        </w:tc>
      </w:tr>
      <w:tr>
        <w:tblPrEx>
          <w:tblCellMar>
            <w:top w:w="0" w:type="dxa"/>
            <w:left w:w="108" w:type="dxa"/>
            <w:bottom w:w="0" w:type="dxa"/>
            <w:right w:w="108" w:type="dxa"/>
          </w:tblCellMar>
        </w:tblPrEx>
        <w:trPr>
          <w:trHeight w:val="369"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17</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低剂量胸部螺旋CT</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对直径小于1厘米的小肺癌，低剂量螺旋CT的检出阳性率较高</w:t>
            </w:r>
          </w:p>
        </w:tc>
      </w:tr>
      <w:tr>
        <w:tblPrEx>
          <w:tblCellMar>
            <w:top w:w="0" w:type="dxa"/>
            <w:left w:w="108" w:type="dxa"/>
            <w:bottom w:w="0" w:type="dxa"/>
            <w:right w:w="108" w:type="dxa"/>
          </w:tblCellMar>
        </w:tblPrEx>
        <w:trPr>
          <w:trHeight w:val="449"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18</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腹部彩超全套</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检查有无占位性病变、脂肪肝、肝胆结石等疾病</w:t>
            </w:r>
          </w:p>
        </w:tc>
      </w:tr>
      <w:tr>
        <w:tblPrEx>
          <w:tblCellMar>
            <w:top w:w="0" w:type="dxa"/>
            <w:left w:w="108" w:type="dxa"/>
            <w:bottom w:w="0" w:type="dxa"/>
            <w:right w:w="108" w:type="dxa"/>
          </w:tblCellMar>
        </w:tblPrEx>
        <w:trPr>
          <w:trHeight w:val="284"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19</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甲状腺彩超</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了解甲状腺是否有结节、肿瘤等情况</w:t>
            </w:r>
          </w:p>
        </w:tc>
      </w:tr>
      <w:tr>
        <w:tblPrEx>
          <w:tblCellMar>
            <w:top w:w="0" w:type="dxa"/>
            <w:left w:w="108" w:type="dxa"/>
            <w:bottom w:w="0" w:type="dxa"/>
            <w:right w:w="108" w:type="dxa"/>
          </w:tblCellMar>
        </w:tblPrEx>
        <w:trPr>
          <w:trHeight w:val="672"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20</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颈动脉彩超</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了解颈部大血管情况，有无颈动脉硬化、斑块形成、管腔狭窄、畸形等</w:t>
            </w:r>
          </w:p>
        </w:tc>
      </w:tr>
      <w:tr>
        <w:tblPrEx>
          <w:tblCellMar>
            <w:top w:w="0" w:type="dxa"/>
            <w:left w:w="108" w:type="dxa"/>
            <w:bottom w:w="0" w:type="dxa"/>
            <w:right w:w="108" w:type="dxa"/>
          </w:tblCellMar>
        </w:tblPrEx>
        <w:trPr>
          <w:trHeight w:val="412"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21</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经颅彩色多普勒</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检查颅脑血管有无痉挛、供血不足、狭窄等疾病态及生活环境</w:t>
            </w:r>
          </w:p>
        </w:tc>
      </w:tr>
      <w:tr>
        <w:tblPrEx>
          <w:tblCellMar>
            <w:top w:w="0" w:type="dxa"/>
            <w:left w:w="108" w:type="dxa"/>
            <w:bottom w:w="0" w:type="dxa"/>
            <w:right w:w="108" w:type="dxa"/>
          </w:tblCellMar>
        </w:tblPrEx>
        <w:trPr>
          <w:trHeight w:val="277"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27</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乳腺彩超</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诊断乳腺增生、肿物、结节、囊肿、腺瘤等</w:t>
            </w:r>
          </w:p>
        </w:tc>
      </w:tr>
      <w:tr>
        <w:tblPrEx>
          <w:tblCellMar>
            <w:top w:w="0" w:type="dxa"/>
            <w:left w:w="108" w:type="dxa"/>
            <w:bottom w:w="0" w:type="dxa"/>
            <w:right w:w="108" w:type="dxa"/>
          </w:tblCellMar>
        </w:tblPrEx>
        <w:trPr>
          <w:trHeight w:val="66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28</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妇科检查</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通过内诊、宫颈刮片等检查方法，排除妇科常见的阴道炎、宫颈炎以及妇科肿瘤等疾病</w:t>
            </w:r>
          </w:p>
        </w:tc>
      </w:tr>
      <w:tr>
        <w:tblPrEx>
          <w:tblCellMar>
            <w:top w:w="0" w:type="dxa"/>
            <w:left w:w="108" w:type="dxa"/>
            <w:bottom w:w="0" w:type="dxa"/>
            <w:right w:w="108" w:type="dxa"/>
          </w:tblCellMar>
        </w:tblPrEx>
        <w:trPr>
          <w:trHeight w:val="405"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29</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白带检查</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阴道炎症的检测</w:t>
            </w:r>
          </w:p>
        </w:tc>
      </w:tr>
      <w:tr>
        <w:tblPrEx>
          <w:tblCellMar>
            <w:top w:w="0" w:type="dxa"/>
            <w:left w:w="108" w:type="dxa"/>
            <w:bottom w:w="0" w:type="dxa"/>
            <w:right w:w="108" w:type="dxa"/>
          </w:tblCellMar>
        </w:tblPrEx>
        <w:trPr>
          <w:trHeight w:val="913"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30</w:t>
            </w:r>
          </w:p>
        </w:tc>
        <w:tc>
          <w:tcPr>
            <w:tcW w:w="2400"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液基超薄</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细胞检测</w:t>
            </w:r>
          </w:p>
        </w:tc>
        <w:tc>
          <w:tcPr>
            <w:tcW w:w="5693"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在筛查宫颈癌和癌前病变较传统巴氏涂片更科学、更准确的一种防癌筛查技术</w:t>
            </w:r>
          </w:p>
        </w:tc>
      </w:tr>
    </w:tbl>
    <w:p>
      <w:pPr>
        <w:adjustRightInd w:val="0"/>
        <w:snapToGrid w:val="0"/>
        <w:spacing w:line="360" w:lineRule="auto"/>
        <w:ind w:firstLine="512" w:firstLineChars="200"/>
        <w:jc w:val="left"/>
        <w:rPr>
          <w:rFonts w:hAnsi="宋体" w:cs="宋体"/>
          <w:bCs/>
          <w:spacing w:val="8"/>
          <w:sz w:val="24"/>
          <w:szCs w:val="24"/>
        </w:rPr>
      </w:pPr>
    </w:p>
    <w:p>
      <w:pPr>
        <w:adjustRightInd w:val="0"/>
        <w:snapToGrid w:val="0"/>
        <w:spacing w:line="360" w:lineRule="auto"/>
        <w:ind w:firstLine="512" w:firstLineChars="200"/>
        <w:jc w:val="left"/>
        <w:rPr>
          <w:rFonts w:hAnsi="宋体" w:cs="宋体"/>
          <w:bCs/>
          <w:spacing w:val="8"/>
          <w:sz w:val="24"/>
          <w:szCs w:val="24"/>
        </w:rPr>
      </w:pPr>
    </w:p>
    <w:p>
      <w:pPr>
        <w:adjustRightInd w:val="0"/>
        <w:snapToGrid w:val="0"/>
        <w:spacing w:line="360" w:lineRule="auto"/>
        <w:ind w:firstLine="512" w:firstLineChars="200"/>
        <w:jc w:val="left"/>
        <w:rPr>
          <w:rFonts w:hAnsi="宋体" w:cs="宋体"/>
          <w:spacing w:val="8"/>
          <w:sz w:val="24"/>
          <w:szCs w:val="24"/>
        </w:rPr>
      </w:pPr>
      <w:r>
        <w:rPr>
          <w:rFonts w:hint="eastAsia" w:hAnsi="宋体" w:cs="宋体"/>
          <w:spacing w:val="8"/>
          <w:sz w:val="24"/>
          <w:szCs w:val="24"/>
        </w:rPr>
        <w:t>15.3可选套餐（三选一）</w:t>
      </w:r>
    </w:p>
    <w:tbl>
      <w:tblPr>
        <w:tblStyle w:val="19"/>
        <w:tblW w:w="8754" w:type="dxa"/>
        <w:tblInd w:w="108" w:type="dxa"/>
        <w:tblLayout w:type="fixed"/>
        <w:tblCellMar>
          <w:top w:w="0" w:type="dxa"/>
          <w:left w:w="108" w:type="dxa"/>
          <w:bottom w:w="0" w:type="dxa"/>
          <w:right w:w="108" w:type="dxa"/>
        </w:tblCellMar>
      </w:tblPr>
      <w:tblGrid>
        <w:gridCol w:w="605"/>
        <w:gridCol w:w="2358"/>
        <w:gridCol w:w="4954"/>
        <w:gridCol w:w="837"/>
      </w:tblGrid>
      <w:tr>
        <w:tblPrEx>
          <w:tblCellMar>
            <w:top w:w="0" w:type="dxa"/>
            <w:left w:w="108" w:type="dxa"/>
            <w:bottom w:w="0" w:type="dxa"/>
            <w:right w:w="108" w:type="dxa"/>
          </w:tblCellMar>
        </w:tblPrEx>
        <w:trPr>
          <w:trHeight w:val="226" w:hRule="atLeast"/>
        </w:trPr>
        <w:tc>
          <w:tcPr>
            <w:tcW w:w="60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序号</w:t>
            </w: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项目</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具体内容</w:t>
            </w:r>
          </w:p>
        </w:tc>
        <w:tc>
          <w:tcPr>
            <w:tcW w:w="83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备注</w:t>
            </w:r>
          </w:p>
        </w:tc>
      </w:tr>
      <w:tr>
        <w:tblPrEx>
          <w:tblCellMar>
            <w:top w:w="0" w:type="dxa"/>
            <w:left w:w="108" w:type="dxa"/>
            <w:bottom w:w="0" w:type="dxa"/>
            <w:right w:w="108" w:type="dxa"/>
          </w:tblCellMar>
        </w:tblPrEx>
        <w:trPr>
          <w:trHeight w:val="285" w:hRule="atLeast"/>
        </w:trPr>
        <w:tc>
          <w:tcPr>
            <w:tcW w:w="605" w:type="dxa"/>
            <w:vMerge w:val="restart"/>
            <w:tcBorders>
              <w:top w:val="single" w:color="auto" w:sz="4" w:space="0"/>
              <w:left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套餐1</w:t>
            </w: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骨密度检查</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诊断有无骨质减少、骨质疏松，预测骨折危险性</w:t>
            </w:r>
          </w:p>
        </w:tc>
        <w:tc>
          <w:tcPr>
            <w:tcW w:w="837" w:type="dxa"/>
            <w:vMerge w:val="restart"/>
            <w:tcBorders>
              <w:top w:val="single" w:color="auto" w:sz="4" w:space="0"/>
              <w:left w:val="nil"/>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　</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3选2</w:t>
            </w:r>
          </w:p>
        </w:tc>
      </w:tr>
      <w:tr>
        <w:tblPrEx>
          <w:tblCellMar>
            <w:top w:w="0" w:type="dxa"/>
            <w:left w:w="108" w:type="dxa"/>
            <w:bottom w:w="0" w:type="dxa"/>
            <w:right w:w="108" w:type="dxa"/>
          </w:tblCellMar>
        </w:tblPrEx>
        <w:trPr>
          <w:trHeight w:val="285" w:hRule="atLeast"/>
        </w:trPr>
        <w:tc>
          <w:tcPr>
            <w:tcW w:w="605" w:type="dxa"/>
            <w:vMerge w:val="continue"/>
            <w:tcBorders>
              <w:left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center"/>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腰椎CT</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清楚地显示椎间盘突出部位、大小、形态，是腰椎间盘突出诊断中极为重要的依据</w:t>
            </w:r>
          </w:p>
        </w:tc>
        <w:tc>
          <w:tcPr>
            <w:tcW w:w="837" w:type="dxa"/>
            <w:vMerge w:val="continue"/>
            <w:tcBorders>
              <w:left w:val="nil"/>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285" w:hRule="atLeast"/>
        </w:trPr>
        <w:tc>
          <w:tcPr>
            <w:tcW w:w="605" w:type="dxa"/>
            <w:vMerge w:val="continue"/>
            <w:tcBorders>
              <w:left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center"/>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颈椎CT</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 xml:space="preserve">确认是否存在明显的骨化、钙化或者颈椎管狭窄 </w:t>
            </w:r>
          </w:p>
        </w:tc>
        <w:tc>
          <w:tcPr>
            <w:tcW w:w="837" w:type="dxa"/>
            <w:vMerge w:val="continue"/>
            <w:tcBorders>
              <w:left w:val="nil"/>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285" w:hRule="atLeast"/>
        </w:trPr>
        <w:tc>
          <w:tcPr>
            <w:tcW w:w="605" w:type="dxa"/>
            <w:vMerge w:val="continue"/>
            <w:tcBorders>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center"/>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头颅CT</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 xml:space="preserve"> 筛查各种神经系统疾病最常用检查方法</w:t>
            </w:r>
          </w:p>
        </w:tc>
        <w:tc>
          <w:tcPr>
            <w:tcW w:w="837" w:type="dxa"/>
            <w:vMerge w:val="continue"/>
            <w:tcBorders>
              <w:left w:val="nil"/>
              <w:bottom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285" w:hRule="atLeast"/>
        </w:trPr>
        <w:tc>
          <w:tcPr>
            <w:tcW w:w="605" w:type="dxa"/>
            <w:vMerge w:val="restart"/>
            <w:tcBorders>
              <w:top w:val="single" w:color="auto" w:sz="4" w:space="0"/>
              <w:left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套餐2</w:t>
            </w: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无痛胃镜</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 xml:space="preserve"> 检查食道、胃有无炎症、肿瘤等病变</w:t>
            </w:r>
          </w:p>
        </w:tc>
        <w:tc>
          <w:tcPr>
            <w:tcW w:w="837" w:type="dxa"/>
            <w:vMerge w:val="restart"/>
            <w:tcBorders>
              <w:top w:val="single" w:color="auto" w:sz="4" w:space="0"/>
              <w:left w:val="nil"/>
              <w:right w:val="single" w:color="auto" w:sz="4" w:space="0"/>
            </w:tcBorders>
            <w:shd w:val="clear" w:color="auto" w:fill="auto"/>
            <w:noWrap/>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3选1</w:t>
            </w:r>
          </w:p>
        </w:tc>
      </w:tr>
      <w:tr>
        <w:tblPrEx>
          <w:tblCellMar>
            <w:top w:w="0" w:type="dxa"/>
            <w:left w:w="108" w:type="dxa"/>
            <w:bottom w:w="0" w:type="dxa"/>
            <w:right w:w="108" w:type="dxa"/>
          </w:tblCellMar>
        </w:tblPrEx>
        <w:trPr>
          <w:trHeight w:val="285" w:hRule="atLeast"/>
        </w:trPr>
        <w:tc>
          <w:tcPr>
            <w:tcW w:w="605" w:type="dxa"/>
            <w:vMerge w:val="continue"/>
            <w:tcBorders>
              <w:left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center"/>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无痛肠镜</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 xml:space="preserve"> 检查肠道有无炎症、息肉、肿瘤等病变</w:t>
            </w:r>
          </w:p>
        </w:tc>
        <w:tc>
          <w:tcPr>
            <w:tcW w:w="837" w:type="dxa"/>
            <w:vMerge w:val="continue"/>
            <w:tcBorders>
              <w:left w:val="nil"/>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285" w:hRule="atLeast"/>
        </w:trPr>
        <w:tc>
          <w:tcPr>
            <w:tcW w:w="605" w:type="dxa"/>
            <w:vMerge w:val="continue"/>
            <w:tcBorders>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center"/>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核磁共振/部位</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检查头颅、腹部、关节、韧带、颈椎、腰椎等部位病变</w:t>
            </w:r>
          </w:p>
        </w:tc>
        <w:tc>
          <w:tcPr>
            <w:tcW w:w="837" w:type="dxa"/>
            <w:vMerge w:val="continue"/>
            <w:tcBorders>
              <w:left w:val="nil"/>
              <w:bottom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285" w:hRule="atLeast"/>
        </w:trPr>
        <w:tc>
          <w:tcPr>
            <w:tcW w:w="605" w:type="dxa"/>
            <w:vMerge w:val="restart"/>
            <w:tcBorders>
              <w:top w:val="single" w:color="auto" w:sz="4" w:space="0"/>
              <w:left w:val="single" w:color="auto" w:sz="4" w:space="0"/>
              <w:right w:val="single" w:color="auto" w:sz="4" w:space="0"/>
            </w:tcBorders>
            <w:shd w:val="clear" w:color="auto" w:fill="auto"/>
            <w:noWrap/>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套餐3</w:t>
            </w: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心脏彩超</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检查心脏有无器质性病变</w:t>
            </w:r>
          </w:p>
        </w:tc>
        <w:tc>
          <w:tcPr>
            <w:tcW w:w="837" w:type="dxa"/>
            <w:vMerge w:val="restart"/>
            <w:tcBorders>
              <w:top w:val="single" w:color="auto" w:sz="4" w:space="0"/>
              <w:left w:val="nil"/>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285" w:hRule="atLeast"/>
        </w:trPr>
        <w:tc>
          <w:tcPr>
            <w:tcW w:w="605" w:type="dxa"/>
            <w:vMerge w:val="continue"/>
            <w:tcBorders>
              <w:left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动脉硬化检测</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四肢动脉硬化测定</w:t>
            </w:r>
          </w:p>
        </w:tc>
        <w:tc>
          <w:tcPr>
            <w:tcW w:w="837" w:type="dxa"/>
            <w:vMerge w:val="continue"/>
            <w:tcBorders>
              <w:left w:val="nil"/>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r>
        <w:tblPrEx>
          <w:tblCellMar>
            <w:top w:w="0" w:type="dxa"/>
            <w:left w:w="108" w:type="dxa"/>
            <w:bottom w:w="0" w:type="dxa"/>
            <w:right w:w="108" w:type="dxa"/>
          </w:tblCellMar>
        </w:tblPrEx>
        <w:trPr>
          <w:trHeight w:val="618" w:hRule="atLeast"/>
        </w:trPr>
        <w:tc>
          <w:tcPr>
            <w:tcW w:w="605" w:type="dxa"/>
            <w:vMerge w:val="continue"/>
            <w:tcBorders>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c>
          <w:tcPr>
            <w:tcW w:w="235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骨密度检查</w:t>
            </w:r>
          </w:p>
        </w:tc>
        <w:tc>
          <w:tcPr>
            <w:tcW w:w="495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诊断有无骨质减少、骨质疏松，预测骨折危险性</w:t>
            </w:r>
          </w:p>
        </w:tc>
        <w:tc>
          <w:tcPr>
            <w:tcW w:w="837" w:type="dxa"/>
            <w:vMerge w:val="continue"/>
            <w:tcBorders>
              <w:left w:val="nil"/>
              <w:bottom w:val="single" w:color="auto" w:sz="4" w:space="0"/>
              <w:right w:val="single" w:color="auto" w:sz="4" w:space="0"/>
            </w:tcBorders>
            <w:shd w:val="clear" w:color="auto" w:fill="auto"/>
            <w:noWrap/>
            <w:vAlign w:val="center"/>
          </w:tcPr>
          <w:p>
            <w:pPr>
              <w:adjustRightInd w:val="0"/>
              <w:snapToGrid w:val="0"/>
              <w:spacing w:line="360" w:lineRule="auto"/>
              <w:ind w:firstLine="481" w:firstLineChars="188"/>
              <w:jc w:val="left"/>
              <w:rPr>
                <w:rFonts w:hAnsi="宋体" w:cs="宋体"/>
                <w:bCs/>
                <w:spacing w:val="8"/>
                <w:sz w:val="24"/>
                <w:szCs w:val="24"/>
              </w:rPr>
            </w:pPr>
          </w:p>
        </w:tc>
      </w:tr>
    </w:tbl>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483" w:firstLineChars="188"/>
        <w:jc w:val="left"/>
        <w:rPr>
          <w:rFonts w:hAnsi="宋体" w:cs="宋体"/>
          <w:b/>
          <w:bCs/>
          <w:spacing w:val="8"/>
          <w:sz w:val="24"/>
          <w:szCs w:val="24"/>
        </w:rPr>
      </w:pPr>
      <w:r>
        <w:rPr>
          <w:rFonts w:hint="eastAsia" w:hAnsi="宋体" w:cs="宋体"/>
          <w:b/>
          <w:bCs/>
          <w:spacing w:val="8"/>
          <w:sz w:val="24"/>
          <w:szCs w:val="24"/>
        </w:rPr>
        <w:t>三、服务要求（实质性要求）</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16.资质要求</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16.1供应商须具有二级甲等及以上公立医疗机构资质，具有开展健康体检的资质，具有120急诊急救的资质，具有开展新冠病毒核酸检测的资质（需提供证明材料并加盖公章）。</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16.2供应商须在内江市主城四区（市中区、东兴区、经开区、高新区）范围内，并且本项目不接受挂靠、合作等非供应商自身医务人员直接服务的方式向采购人提供相关医疗卫生服务。</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16.3供应商对本项目拟派的所有人员，均应该是来自供应商自身医疗单位（包括在职时和退休后），不允许有非本单位人员临时加入。</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16.4供应商需提供项目的服务方案（包括接送、早餐等符合采购人要求和安排）。</w:t>
      </w:r>
    </w:p>
    <w:p>
      <w:pPr>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17.服务时间：合同签订生效后，成交供应商在得到采购人书面通知20个工作日内完成体检服务。</w:t>
      </w:r>
    </w:p>
    <w:p>
      <w:pPr>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18.服务地点：成交供应商体检中心本部。</w:t>
      </w:r>
    </w:p>
    <w:p>
      <w:pPr>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19.参检人数：约80人，,以最终体检人数为准。</w:t>
      </w:r>
    </w:p>
    <w:p>
      <w:pPr>
        <w:ind w:firstLine="480" w:firstLineChars="200"/>
        <w:jc w:val="left"/>
        <w:rPr>
          <w:rFonts w:cs="仿宋" w:asciiTheme="minorEastAsia" w:hAnsiTheme="minorEastAsia" w:eastAsiaTheme="minorEastAsia"/>
          <w:sz w:val="24"/>
          <w:szCs w:val="24"/>
        </w:rPr>
      </w:pPr>
      <w:r>
        <w:rPr>
          <w:rFonts w:hint="eastAsia" w:hAnsi="宋体" w:cs="仿宋"/>
          <w:sz w:val="24"/>
          <w:szCs w:val="24"/>
        </w:rPr>
        <w:t>20.</w:t>
      </w:r>
      <w:r>
        <w:rPr>
          <w:rFonts w:hint="eastAsia" w:cs="仿宋" w:asciiTheme="minorEastAsia" w:hAnsiTheme="minorEastAsia" w:eastAsiaTheme="minorEastAsia"/>
          <w:sz w:val="24"/>
          <w:szCs w:val="24"/>
        </w:rPr>
        <w:t>合同价款的计算：合同价款=实际体检人数×成交供应商套餐单价；据实结算。</w:t>
      </w:r>
    </w:p>
    <w:p>
      <w:pPr>
        <w:ind w:firstLine="480" w:firstLineChars="200"/>
        <w:jc w:val="left"/>
        <w:rPr>
          <w:rFonts w:hAnsi="宋体" w:cs="仿宋"/>
          <w:sz w:val="24"/>
          <w:szCs w:val="24"/>
        </w:rPr>
      </w:pPr>
      <w:r>
        <w:rPr>
          <w:rFonts w:hint="eastAsia" w:hAnsi="宋体" w:cs="仿宋"/>
          <w:sz w:val="24"/>
          <w:szCs w:val="24"/>
        </w:rPr>
        <w:t>21.验收标准：</w:t>
      </w:r>
    </w:p>
    <w:p>
      <w:pPr>
        <w:ind w:firstLine="480" w:firstLineChars="200"/>
        <w:jc w:val="left"/>
        <w:rPr>
          <w:rFonts w:hAnsi="宋体" w:cs="仿宋"/>
          <w:sz w:val="24"/>
          <w:szCs w:val="24"/>
        </w:rPr>
      </w:pPr>
      <w:r>
        <w:rPr>
          <w:rFonts w:hint="eastAsia" w:hAnsi="宋体" w:cs="仿宋"/>
          <w:sz w:val="24"/>
          <w:szCs w:val="24"/>
        </w:rPr>
        <w:t>符合国家、行业标准、四川省地方标准规定的验收标准。</w:t>
      </w:r>
    </w:p>
    <w:p>
      <w:pPr>
        <w:ind w:firstLine="480" w:firstLineChars="200"/>
        <w:jc w:val="left"/>
        <w:rPr>
          <w:rFonts w:hAnsi="宋体" w:cs="仿宋"/>
          <w:sz w:val="24"/>
          <w:szCs w:val="24"/>
        </w:rPr>
      </w:pPr>
      <w:r>
        <w:rPr>
          <w:rFonts w:hint="eastAsia" w:hAnsi="宋体" w:cs="仿宋"/>
          <w:sz w:val="24"/>
          <w:szCs w:val="24"/>
        </w:rPr>
        <w:t>22.其他未尽事宜应严格按照《财政部关于进一步加强政府采购需求和履约验收管理的指导意见》(财库〔2016〕205号))的要求进行验收。</w:t>
      </w:r>
    </w:p>
    <w:p>
      <w:pPr>
        <w:ind w:firstLine="480" w:firstLineChars="200"/>
        <w:jc w:val="left"/>
        <w:rPr>
          <w:rFonts w:hAnsi="宋体" w:cs="仿宋"/>
          <w:sz w:val="24"/>
          <w:szCs w:val="24"/>
        </w:rPr>
      </w:pPr>
      <w:r>
        <w:rPr>
          <w:rFonts w:hint="eastAsia" w:hAnsi="宋体" w:cs="仿宋"/>
          <w:sz w:val="24"/>
          <w:szCs w:val="24"/>
        </w:rPr>
        <w:t>23.报价要求：本项目</w:t>
      </w:r>
      <w:r>
        <w:rPr>
          <w:rFonts w:hint="eastAsia" w:hAnsi="宋体" w:cs="仿宋"/>
          <w:sz w:val="24"/>
          <w:szCs w:val="24"/>
          <w:lang w:eastAsia="zh-CN"/>
        </w:rPr>
        <w:t>投标</w:t>
      </w:r>
      <w:r>
        <w:rPr>
          <w:rFonts w:hint="eastAsia" w:hAnsi="宋体" w:cs="仿宋"/>
          <w:sz w:val="24"/>
          <w:szCs w:val="24"/>
        </w:rPr>
        <w:t>报价按每人体检所需费用报单价，其费用应包含完成本项目所需的所有费用，采购人除此外不必再为本项目支付其他费用。</w:t>
      </w:r>
    </w:p>
    <w:p>
      <w:pPr>
        <w:ind w:firstLine="480" w:firstLineChars="200"/>
        <w:jc w:val="left"/>
        <w:rPr>
          <w:rFonts w:hAnsi="宋体" w:cs="仿宋"/>
          <w:sz w:val="24"/>
          <w:szCs w:val="24"/>
        </w:rPr>
      </w:pPr>
      <w:r>
        <w:rPr>
          <w:rFonts w:hint="eastAsia" w:hAnsi="宋体" w:cs="仿宋"/>
          <w:sz w:val="24"/>
          <w:szCs w:val="24"/>
        </w:rPr>
        <w:t>24.付款方式：体检完毕后两周内，成交供应商应提交教职工参检人员明细表、体检报告及汇总材料给采购人审核和核算，审核通过后的15日内按实际参检情况据实结算。若成交供应商在规定时限内未向采购人递交上述资料，采购人有权延期付款。</w:t>
      </w:r>
    </w:p>
    <w:p>
      <w:pPr>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注：“★”项为本项目实质性要求，不允许负偏离，否则做无效响应处理。</w:t>
      </w:r>
    </w:p>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481" w:firstLineChars="188"/>
        <w:jc w:val="left"/>
        <w:rPr>
          <w:rFonts w:hAnsi="宋体" w:cs="宋体"/>
          <w:bCs/>
          <w:spacing w:val="8"/>
          <w:sz w:val="24"/>
          <w:szCs w:val="24"/>
        </w:rPr>
      </w:pPr>
      <w:bookmarkStart w:id="97" w:name="_Toc358883247"/>
    </w:p>
    <w:p>
      <w:pPr>
        <w:adjustRightInd w:val="0"/>
        <w:snapToGrid w:val="0"/>
        <w:spacing w:line="360" w:lineRule="auto"/>
        <w:ind w:firstLine="481" w:firstLineChars="188"/>
        <w:jc w:val="left"/>
        <w:rPr>
          <w:rFonts w:hAnsi="宋体" w:cs="宋体"/>
          <w:bCs/>
          <w:spacing w:val="8"/>
          <w:sz w:val="24"/>
          <w:szCs w:val="24"/>
        </w:rPr>
      </w:pPr>
    </w:p>
    <w:p>
      <w:pPr>
        <w:pStyle w:val="2"/>
      </w:pPr>
    </w:p>
    <w:p/>
    <w:p>
      <w:pPr>
        <w:pStyle w:val="2"/>
      </w:pPr>
    </w:p>
    <w:p/>
    <w:p>
      <w:pPr>
        <w:pStyle w:val="2"/>
      </w:pPr>
    </w:p>
    <w:p/>
    <w:p>
      <w:pPr>
        <w:pStyle w:val="2"/>
      </w:pPr>
    </w:p>
    <w:p/>
    <w:p>
      <w:pPr>
        <w:pStyle w:val="2"/>
      </w:pPr>
    </w:p>
    <w:p/>
    <w:p>
      <w:pPr>
        <w:pStyle w:val="2"/>
      </w:pPr>
    </w:p>
    <w:p/>
    <w:p>
      <w:pPr>
        <w:pStyle w:val="3"/>
        <w:snapToGrid w:val="0"/>
        <w:spacing w:before="0" w:afterLines="60" w:line="360" w:lineRule="auto"/>
        <w:ind w:firstLine="2570" w:firstLineChars="800"/>
        <w:rPr>
          <w:rFonts w:hAnsi="宋体"/>
          <w:sz w:val="32"/>
          <w:szCs w:val="32"/>
        </w:rPr>
      </w:pPr>
      <w:r>
        <w:rPr>
          <w:rFonts w:hint="eastAsia" w:hAnsi="宋体"/>
          <w:sz w:val="32"/>
          <w:szCs w:val="32"/>
        </w:rPr>
        <w:t>第五章  评标办法</w:t>
      </w:r>
      <w:bookmarkEnd w:id="97"/>
      <w:bookmarkStart w:id="98" w:name="_Toc217446097"/>
      <w:bookmarkStart w:id="99" w:name="_Toc183582280"/>
      <w:bookmarkStart w:id="100" w:name="_Toc208849007"/>
      <w:bookmarkStart w:id="101" w:name="_Toc183682415"/>
    </w:p>
    <w:p>
      <w:pPr>
        <w:pStyle w:val="74"/>
        <w:spacing w:line="400" w:lineRule="exact"/>
        <w:ind w:firstLine="480"/>
        <w:jc w:val="left"/>
        <w:rPr>
          <w:rFonts w:cs="宋体" w:asciiTheme="minorEastAsia" w:hAnsiTheme="minorEastAsia" w:eastAsiaTheme="minorEastAsia"/>
          <w:color w:val="000000" w:themeColor="text1"/>
        </w:rPr>
      </w:pPr>
      <w:r>
        <w:rPr>
          <w:rFonts w:hint="eastAsia" w:cs="宋体" w:asciiTheme="minorEastAsia" w:hAnsiTheme="minorEastAsia" w:eastAsiaTheme="minorEastAsia"/>
          <w:b/>
          <w:color w:val="000000" w:themeColor="text1"/>
        </w:rPr>
        <w:t>一、</w:t>
      </w:r>
      <w:r>
        <w:rPr>
          <w:rFonts w:cs="宋体" w:asciiTheme="minorEastAsia" w:hAnsiTheme="minorEastAsia" w:eastAsiaTheme="minorEastAsia"/>
          <w:b/>
          <w:color w:val="000000" w:themeColor="text1"/>
          <w:lang w:val="zh-TW" w:eastAsia="zh-TW"/>
        </w:rPr>
        <w:t>本次综合评分的因素是：</w:t>
      </w:r>
      <w:r>
        <w:rPr>
          <w:rFonts w:cs="宋体" w:asciiTheme="minorEastAsia" w:hAnsiTheme="minorEastAsia" w:eastAsiaTheme="minorEastAsia"/>
          <w:bCs/>
          <w:color w:val="000000" w:themeColor="text1"/>
          <w:lang w:val="zh-TW" w:eastAsia="zh-TW"/>
        </w:rPr>
        <w:t>详见综合评分明细表</w:t>
      </w:r>
    </w:p>
    <w:p>
      <w:pPr>
        <w:pStyle w:val="74"/>
        <w:spacing w:line="400" w:lineRule="exact"/>
        <w:ind w:firstLine="480"/>
        <w:jc w:val="left"/>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w:t>
      </w:r>
      <w:r>
        <w:rPr>
          <w:rFonts w:cs="宋体" w:asciiTheme="minorEastAsia" w:hAnsiTheme="minorEastAsia" w:eastAsiaTheme="minorEastAsia"/>
          <w:color w:val="000000" w:themeColor="text1"/>
          <w:lang w:val="zh-TW" w:eastAsia="zh-TW"/>
        </w:rPr>
        <w:t>综合评分明细表</w:t>
      </w:r>
    </w:p>
    <w:p>
      <w:pPr>
        <w:pStyle w:val="74"/>
        <w:spacing w:line="400" w:lineRule="exact"/>
        <w:ind w:right="-197" w:rightChars="-58" w:firstLine="480"/>
        <w:jc w:val="left"/>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1.1</w:t>
      </w:r>
      <w:r>
        <w:rPr>
          <w:rFonts w:cs="宋体" w:asciiTheme="minorEastAsia" w:hAnsiTheme="minorEastAsia" w:eastAsiaTheme="minorEastAsia"/>
          <w:color w:val="000000" w:themeColor="text1"/>
          <w:lang w:val="zh-TW" w:eastAsia="zh-TW"/>
        </w:rPr>
        <w:t>综合评分明细表的制定以科学合理、降低评委会自由裁量权为原则。</w:t>
      </w:r>
    </w:p>
    <w:p>
      <w:pPr>
        <w:pStyle w:val="74"/>
        <w:spacing w:line="400" w:lineRule="exact"/>
        <w:ind w:firstLine="480"/>
        <w:jc w:val="left"/>
        <w:rPr>
          <w:rFonts w:cs="宋体" w:asciiTheme="minorEastAsia" w:hAnsiTheme="minorEastAsia" w:eastAsiaTheme="minorEastAsia"/>
          <w:color w:val="000000" w:themeColor="text1"/>
          <w:highlight w:val="yellow"/>
        </w:rPr>
      </w:pPr>
      <w:r>
        <w:rPr>
          <w:rFonts w:hint="eastAsia" w:cs="宋体" w:asciiTheme="minorEastAsia" w:hAnsiTheme="minorEastAsia" w:eastAsiaTheme="minorEastAsia"/>
          <w:color w:val="000000" w:themeColor="text1"/>
        </w:rPr>
        <w:t>1.2</w:t>
      </w:r>
      <w:r>
        <w:rPr>
          <w:rFonts w:cs="宋体" w:asciiTheme="minorEastAsia" w:hAnsiTheme="minorEastAsia" w:eastAsiaTheme="minorEastAsia"/>
          <w:color w:val="000000" w:themeColor="text1"/>
          <w:lang w:val="zh-TW" w:eastAsia="zh-TW"/>
        </w:rPr>
        <w:t>综合评分明细表</w:t>
      </w:r>
    </w:p>
    <w:tbl>
      <w:tblPr>
        <w:tblStyle w:val="19"/>
        <w:tblpPr w:leftFromText="180" w:rightFromText="180" w:vertAnchor="text" w:tblpXSpec="center" w:tblpY="1"/>
        <w:tblOverlap w:val="never"/>
        <w:tblW w:w="0" w:type="auto"/>
        <w:tblInd w:w="-29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50"/>
        <w:gridCol w:w="505"/>
        <w:gridCol w:w="7117"/>
        <w:gridCol w:w="46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序号</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评分因素及权重</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分值</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评分标准</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报价</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10分</w:t>
            </w:r>
          </w:p>
        </w:tc>
        <w:tc>
          <w:tcPr>
            <w:tcW w:w="0" w:type="auto"/>
            <w:tcBorders>
              <w:tl2br w:val="nil"/>
              <w:tr2bl w:val="nil"/>
            </w:tcBorders>
            <w:vAlign w:val="center"/>
          </w:tcPr>
          <w:p>
            <w:pPr>
              <w:wordWrap w:val="0"/>
              <w:spacing w:line="360" w:lineRule="auto"/>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满足</w:t>
            </w:r>
            <w:r>
              <w:rPr>
                <w:rFonts w:hint="eastAsia" w:cs="仿宋" w:asciiTheme="minorEastAsia" w:hAnsiTheme="minorEastAsia" w:eastAsiaTheme="minorEastAsia"/>
                <w:sz w:val="21"/>
                <w:szCs w:val="21"/>
                <w:lang w:eastAsia="zh-CN"/>
              </w:rPr>
              <w:t>招投标</w:t>
            </w:r>
            <w:r>
              <w:rPr>
                <w:rFonts w:hint="eastAsia" w:cs="仿宋" w:asciiTheme="minorEastAsia" w:hAnsiTheme="minorEastAsia" w:eastAsiaTheme="minorEastAsia"/>
                <w:sz w:val="21"/>
                <w:szCs w:val="21"/>
              </w:rPr>
              <w:t>文件要求且</w:t>
            </w:r>
            <w:r>
              <w:rPr>
                <w:rFonts w:hint="eastAsia" w:cs="仿宋" w:asciiTheme="minorEastAsia" w:hAnsiTheme="minorEastAsia" w:eastAsiaTheme="minorEastAsia"/>
                <w:sz w:val="21"/>
                <w:szCs w:val="21"/>
                <w:lang w:eastAsia="zh-CN"/>
              </w:rPr>
              <w:t>投标</w:t>
            </w:r>
            <w:r>
              <w:rPr>
                <w:rFonts w:hint="eastAsia" w:cs="仿宋" w:asciiTheme="minorEastAsia" w:hAnsiTheme="minorEastAsia" w:eastAsiaTheme="minorEastAsia"/>
                <w:sz w:val="21"/>
                <w:szCs w:val="21"/>
              </w:rPr>
              <w:t>价格最低的报价为评标基准价，其价格分为满分。其他供应商的价格分统一按照下列公式计算：</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1.基础套餐（必检项目）=(评审基准价/</w:t>
            </w:r>
            <w:r>
              <w:rPr>
                <w:rFonts w:hint="eastAsia" w:cs="仿宋" w:asciiTheme="minorEastAsia" w:hAnsiTheme="minorEastAsia" w:eastAsiaTheme="minorEastAsia"/>
                <w:sz w:val="21"/>
                <w:szCs w:val="21"/>
                <w:lang w:eastAsia="zh-CN"/>
              </w:rPr>
              <w:t>投标</w:t>
            </w:r>
            <w:r>
              <w:rPr>
                <w:rFonts w:hint="eastAsia" w:cs="仿宋" w:asciiTheme="minorEastAsia" w:hAnsiTheme="minorEastAsia" w:eastAsiaTheme="minorEastAsia"/>
                <w:sz w:val="21"/>
                <w:szCs w:val="21"/>
              </w:rPr>
              <w:t>报价）×100×4%；</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2.可选套餐1=(评审基准价/</w:t>
            </w:r>
            <w:r>
              <w:rPr>
                <w:rFonts w:hint="eastAsia" w:cs="仿宋" w:asciiTheme="minorEastAsia" w:hAnsiTheme="minorEastAsia" w:eastAsiaTheme="minorEastAsia"/>
                <w:sz w:val="21"/>
                <w:szCs w:val="21"/>
                <w:lang w:eastAsia="zh-CN"/>
              </w:rPr>
              <w:t>投标</w:t>
            </w:r>
            <w:r>
              <w:rPr>
                <w:rFonts w:hint="eastAsia" w:cs="仿宋" w:asciiTheme="minorEastAsia" w:hAnsiTheme="minorEastAsia" w:eastAsiaTheme="minorEastAsia"/>
                <w:sz w:val="21"/>
                <w:szCs w:val="21"/>
              </w:rPr>
              <w:t>报价）×100×2%；</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3.可选套餐2=(评审基准价/</w:t>
            </w:r>
            <w:r>
              <w:rPr>
                <w:rFonts w:hint="eastAsia" w:cs="仿宋" w:asciiTheme="minorEastAsia" w:hAnsiTheme="minorEastAsia" w:eastAsiaTheme="minorEastAsia"/>
                <w:sz w:val="21"/>
                <w:szCs w:val="21"/>
                <w:lang w:eastAsia="zh-CN"/>
              </w:rPr>
              <w:t>投标</w:t>
            </w:r>
            <w:r>
              <w:rPr>
                <w:rFonts w:hint="eastAsia" w:cs="仿宋" w:asciiTheme="minorEastAsia" w:hAnsiTheme="minorEastAsia" w:eastAsiaTheme="minorEastAsia"/>
                <w:sz w:val="21"/>
                <w:szCs w:val="21"/>
              </w:rPr>
              <w:t>报价）×100×2%；</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4.可选套餐3=(评审基准价/</w:t>
            </w:r>
            <w:r>
              <w:rPr>
                <w:rFonts w:hint="eastAsia" w:cs="仿宋" w:asciiTheme="minorEastAsia" w:hAnsiTheme="minorEastAsia" w:eastAsiaTheme="minorEastAsia"/>
                <w:sz w:val="21"/>
                <w:szCs w:val="21"/>
                <w:lang w:eastAsia="zh-CN"/>
              </w:rPr>
              <w:t>投标</w:t>
            </w:r>
            <w:r>
              <w:rPr>
                <w:rFonts w:hint="eastAsia" w:cs="仿宋" w:asciiTheme="minorEastAsia" w:hAnsiTheme="minorEastAsia" w:eastAsiaTheme="minorEastAsia"/>
                <w:sz w:val="21"/>
                <w:szCs w:val="21"/>
              </w:rPr>
              <w:t>报价）×100×2%。</w:t>
            </w:r>
          </w:p>
          <w:p>
            <w:pPr>
              <w:pStyle w:val="2"/>
              <w:rPr>
                <w:rFonts w:asciiTheme="minorEastAsia" w:hAnsiTheme="minorEastAsia" w:eastAsiaTheme="minorEastAsia"/>
                <w:szCs w:val="21"/>
              </w:rPr>
            </w:pPr>
            <w:r>
              <w:rPr>
                <w:rFonts w:hint="eastAsia" w:cs="仿宋" w:asciiTheme="minorEastAsia" w:hAnsiTheme="minorEastAsia" w:eastAsiaTheme="minorEastAsia"/>
                <w:kern w:val="0"/>
                <w:szCs w:val="21"/>
              </w:rPr>
              <w:t>教职工体检套餐按照“</w:t>
            </w:r>
            <w:r>
              <w:rPr>
                <w:rFonts w:cs="仿宋" w:asciiTheme="minorEastAsia" w:hAnsiTheme="minorEastAsia" w:eastAsiaTheme="minorEastAsia"/>
                <w:kern w:val="0"/>
                <w:szCs w:val="21"/>
              </w:rPr>
              <w:t>1+X”（</w:t>
            </w:r>
            <w:r>
              <w:rPr>
                <w:rFonts w:hint="eastAsia" w:cs="仿宋" w:asciiTheme="minorEastAsia" w:hAnsiTheme="minorEastAsia" w:eastAsiaTheme="minorEastAsia"/>
                <w:kern w:val="0"/>
                <w:szCs w:val="21"/>
              </w:rPr>
              <w:t>基础套餐</w:t>
            </w:r>
            <w:r>
              <w:rPr>
                <w:rFonts w:cs="仿宋" w:asciiTheme="minorEastAsia" w:hAnsiTheme="minorEastAsia" w:eastAsiaTheme="minorEastAsia"/>
                <w:kern w:val="0"/>
                <w:szCs w:val="21"/>
              </w:rPr>
              <w:t>+个</w:t>
            </w:r>
            <w:r>
              <w:rPr>
                <w:rFonts w:hint="eastAsia" w:cs="仿宋" w:asciiTheme="minorEastAsia" w:hAnsiTheme="minorEastAsia" w:eastAsiaTheme="minorEastAsia"/>
                <w:szCs w:val="21"/>
              </w:rPr>
              <w:t>可选套餐</w:t>
            </w:r>
            <w:r>
              <w:rPr>
                <w:rFonts w:cs="仿宋" w:asciiTheme="minorEastAsia" w:hAnsiTheme="minorEastAsia" w:eastAsiaTheme="minorEastAsia"/>
                <w:kern w:val="0"/>
                <w:szCs w:val="21"/>
              </w:rPr>
              <w:t>）模式， 根据所选套餐核定套餐单价，每位教职工只能选择“1+X1”或“1+X2”或“1+X3”， 套餐单价报价均不得超过报价要求。</w:t>
            </w:r>
          </w:p>
        </w:tc>
        <w:tc>
          <w:tcPr>
            <w:tcW w:w="0" w:type="auto"/>
            <w:tcBorders>
              <w:tl2br w:val="nil"/>
              <w:tr2bl w:val="nil"/>
            </w:tcBorders>
            <w:vAlign w:val="center"/>
          </w:tcPr>
          <w:p>
            <w:pPr>
              <w:adjustRightInd w:val="0"/>
              <w:snapToGrid w:val="0"/>
              <w:spacing w:line="360" w:lineRule="auto"/>
              <w:ind w:left="-40"/>
              <w:jc w:val="left"/>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2</w:t>
            </w:r>
          </w:p>
        </w:tc>
        <w:tc>
          <w:tcPr>
            <w:tcW w:w="0" w:type="auto"/>
            <w:tcBorders>
              <w:tl2br w:val="nil"/>
              <w:tr2bl w:val="nil"/>
            </w:tcBorders>
            <w:vAlign w:val="center"/>
          </w:tcPr>
          <w:p>
            <w:pPr>
              <w:adjustRightInd w:val="0"/>
              <w:snapToGrid w:val="0"/>
              <w:spacing w:line="360" w:lineRule="auto"/>
              <w:ind w:left="102" w:leftChars="3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服务方案</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18分</w:t>
            </w:r>
          </w:p>
        </w:tc>
        <w:tc>
          <w:tcPr>
            <w:tcW w:w="0" w:type="auto"/>
            <w:tcBorders>
              <w:tl2br w:val="nil"/>
              <w:tr2bl w:val="nil"/>
            </w:tcBorders>
            <w:vAlign w:val="center"/>
          </w:tcPr>
          <w:p>
            <w:pPr>
              <w:pStyle w:val="6"/>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根据供应商针对本项目提供的体检计划（包括总体考虑、具体场次安排、人数安排、体检流程安排）进行评审，每有一项上述细化指标得2分，最多得8分；缺少一项内容或者其中一项内容不能满足实际需求或相关内容阐述简略或与本项目不匹配的扣2分，扣完为止。</w:t>
            </w:r>
          </w:p>
          <w:p>
            <w:pPr>
              <w:pStyle w:val="6"/>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根据供应商针对本项目提供的应急措施方案（包括交通应急、急救应急、突发公共卫生事件应急、传染病防控应急、新冠肺炎疫情应急）进行评审，每有一项上述细化指标得2分，最多得10分；缺少一项内容或者其中一项内容不能满足实际需求或相关内容阐述简略或与本项目不匹配的扣2分，扣完为止。</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3</w:t>
            </w:r>
          </w:p>
        </w:tc>
        <w:tc>
          <w:tcPr>
            <w:tcW w:w="0" w:type="auto"/>
            <w:tcBorders>
              <w:tl2br w:val="nil"/>
              <w:tr2bl w:val="nil"/>
            </w:tcBorders>
            <w:vAlign w:val="center"/>
          </w:tcPr>
          <w:p>
            <w:pPr>
              <w:adjustRightInd w:val="0"/>
              <w:snapToGrid w:val="0"/>
              <w:spacing w:line="360" w:lineRule="auto"/>
              <w:ind w:left="102" w:leftChars="3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体检后续服务方案</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12分</w:t>
            </w:r>
          </w:p>
        </w:tc>
        <w:tc>
          <w:tcPr>
            <w:tcW w:w="0" w:type="auto"/>
            <w:tcBorders>
              <w:tl2br w:val="nil"/>
              <w:tr2bl w:val="nil"/>
            </w:tcBorders>
            <w:vAlign w:val="center"/>
          </w:tcPr>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r>
              <w:rPr>
                <w:rFonts w:cs="仿宋" w:asciiTheme="minorEastAsia" w:hAnsiTheme="minorEastAsia" w:eastAsiaTheme="minorEastAsia"/>
                <w:sz w:val="21"/>
                <w:szCs w:val="21"/>
              </w:rPr>
              <w:t>供应商</w:t>
            </w:r>
            <w:r>
              <w:rPr>
                <w:rFonts w:hint="eastAsia" w:cs="仿宋" w:asciiTheme="minorEastAsia" w:hAnsiTheme="minorEastAsia" w:eastAsiaTheme="minorEastAsia"/>
                <w:sz w:val="21"/>
                <w:szCs w:val="21"/>
              </w:rPr>
              <w:t>提供体检后续服务，包含：体检报告网上查询、病症追踪、健康管理建议、团检分析。完全包含以上几点且满足采购需求的得 4 分。每缺少一项内容或有一项内容错误（内容错误指：方案涉及的内容与本项目要求不一致的，每缺少一项内容扣 1 分，每有一处错误扣 0.5 分，扣完为止。</w:t>
            </w:r>
          </w:p>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2.体检发现重大疾病需进一步治疗的，能为受检者提供三级甲等医院或以上的就医绿色通道包含：复检、门诊挂号、住院手续办理。完全包含以上几点且满足采购需求的得 3 分。每缺少一项内容或有一项内容错误（内容错误指方案涉及的内容与本项目要求不一致）的，每缺少一项内容扣 1 分，每有一处错误扣 0.5 分，扣完为止。</w:t>
            </w:r>
          </w:p>
          <w:p>
            <w:pPr>
              <w:pStyle w:val="3"/>
              <w:snapToGrid w:val="0"/>
              <w:spacing w:before="0" w:after="0" w:line="240" w:lineRule="auto"/>
              <w:rPr>
                <w:rFonts w:hAnsi="宋体"/>
                <w:b w:val="0"/>
                <w:sz w:val="32"/>
                <w:szCs w:val="32"/>
              </w:rPr>
            </w:pPr>
            <w:r>
              <w:rPr>
                <w:rFonts w:hint="eastAsia" w:cs="仿宋" w:asciiTheme="minorEastAsia" w:hAnsiTheme="minorEastAsia" w:eastAsiaTheme="minorEastAsia"/>
                <w:b w:val="0"/>
                <w:sz w:val="21"/>
                <w:szCs w:val="21"/>
              </w:rPr>
              <w:t>3.</w:t>
            </w:r>
            <w:r>
              <w:rPr>
                <w:rFonts w:cs="仿宋" w:asciiTheme="minorEastAsia" w:hAnsiTheme="minorEastAsia" w:eastAsiaTheme="minorEastAsia"/>
                <w:b w:val="0"/>
                <w:sz w:val="21"/>
                <w:szCs w:val="21"/>
              </w:rPr>
              <w:t>供应商</w:t>
            </w:r>
            <w:r>
              <w:rPr>
                <w:rFonts w:hint="eastAsia" w:cs="仿宋" w:asciiTheme="minorEastAsia" w:hAnsiTheme="minorEastAsia" w:eastAsiaTheme="minorEastAsia"/>
                <w:b w:val="0"/>
                <w:sz w:val="21"/>
                <w:szCs w:val="21"/>
              </w:rPr>
              <w:t>承诺为本项目检出的重大疾病教职工提供一次三级甲等医院或以上的专家会诊得 5分，提供一次三级乙等医院的专家会诊得3 分，其他不得分。本项目最多得 5分。注：提供医院</w:t>
            </w:r>
            <w:r>
              <w:rPr>
                <w:rFonts w:cs="仿宋" w:asciiTheme="minorEastAsia" w:hAnsiTheme="minorEastAsia" w:eastAsiaTheme="minorEastAsia"/>
                <w:b w:val="0"/>
                <w:sz w:val="21"/>
                <w:szCs w:val="21"/>
              </w:rPr>
              <w:t>资质证明材料及</w:t>
            </w:r>
            <w:r>
              <w:rPr>
                <w:rFonts w:hint="eastAsia" w:cs="仿宋" w:asciiTheme="minorEastAsia" w:hAnsiTheme="minorEastAsia" w:eastAsiaTheme="minorEastAsia"/>
                <w:b w:val="0"/>
                <w:sz w:val="21"/>
                <w:szCs w:val="21"/>
              </w:rPr>
              <w:t>书面承诺函并加盖</w:t>
            </w:r>
            <w:r>
              <w:rPr>
                <w:rFonts w:cs="仿宋" w:asciiTheme="minorEastAsia" w:hAnsiTheme="minorEastAsia" w:eastAsiaTheme="minorEastAsia"/>
                <w:b w:val="0"/>
                <w:sz w:val="21"/>
                <w:szCs w:val="21"/>
              </w:rPr>
              <w:t>供应商</w:t>
            </w:r>
            <w:r>
              <w:rPr>
                <w:rFonts w:hint="eastAsia" w:cs="仿宋" w:asciiTheme="minorEastAsia" w:hAnsiTheme="minorEastAsia" w:eastAsiaTheme="minorEastAsia"/>
                <w:b w:val="0"/>
                <w:sz w:val="21"/>
                <w:szCs w:val="21"/>
              </w:rPr>
              <w:t>鲜章，格式自拟。</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4</w:t>
            </w:r>
          </w:p>
        </w:tc>
        <w:tc>
          <w:tcPr>
            <w:tcW w:w="0" w:type="auto"/>
            <w:tcBorders>
              <w:tl2br w:val="nil"/>
              <w:tr2bl w:val="nil"/>
            </w:tcBorders>
            <w:vAlign w:val="center"/>
          </w:tcPr>
          <w:p>
            <w:pPr>
              <w:adjustRightInd w:val="0"/>
              <w:snapToGrid w:val="0"/>
              <w:spacing w:line="360" w:lineRule="auto"/>
              <w:ind w:left="102" w:leftChars="3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接待能力</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6分</w:t>
            </w:r>
          </w:p>
        </w:tc>
        <w:tc>
          <w:tcPr>
            <w:tcW w:w="0" w:type="auto"/>
            <w:tcBorders>
              <w:tl2br w:val="nil"/>
              <w:tr2bl w:val="nil"/>
            </w:tcBorders>
            <w:vAlign w:val="center"/>
          </w:tcPr>
          <w:p>
            <w:pPr>
              <w:adjustRightInd w:val="0"/>
              <w:snapToGrid w:val="0"/>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针对本项目提供单日接待体检人次300人（含）以上得6分，200（含）-300人得4分，200人以下得2分。</w:t>
            </w:r>
          </w:p>
          <w:p>
            <w:pPr>
              <w:adjustRightInd w:val="0"/>
              <w:snapToGrid w:val="0"/>
              <w:spacing w:line="360" w:lineRule="auto"/>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注：提供日接待流水相关证明材料复印件或提供承诺函原件（格式自拟）并加盖供应商公章。</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项目团队配备</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24分</w:t>
            </w:r>
          </w:p>
        </w:tc>
        <w:tc>
          <w:tcPr>
            <w:tcW w:w="0" w:type="auto"/>
            <w:tcBorders>
              <w:tl2br w:val="nil"/>
              <w:tr2bl w:val="nil"/>
            </w:tcBorders>
            <w:vAlign w:val="center"/>
          </w:tcPr>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供应商为本项目提供的医疗技术人员在满足服务要求中人员要求的基础上：</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1.内科每增加1名副高级或以上职称人员加1分，最多得2分；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2.外科每增加1名副高级或以上职称人员加1分，最多得2分；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3.医学影像科每提供1名副高级或以上职称人员得1分，最多得2分；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4.医学检验科每提供1名副高级或以上职称人员得1分，最多得2分；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5.妇科每提供1名副高级或以上职称人员得1分，最多得2分；</w:t>
            </w:r>
          </w:p>
          <w:p>
            <w:pPr>
              <w:pStyle w:val="7"/>
              <w:adjustRightInd w:val="0"/>
              <w:snapToGrid w:val="0"/>
              <w:spacing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 xml:space="preserve">6.检后分析汇总，根据单位要求可组织本单位省级或以上重点专科专家到校进行专题讲座1 场及组织3 名本单位省级或以上重点专科专家到校进行一对一体检报告现场咨询的得6分 </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7.供应商从事健康体检涉及的相关科室（消化内科、医学影像学、心血管内科、健康管理）为市级重点学科每一项得2分，最多得8分。（提供相关证明材料并加盖公章）。</w:t>
            </w:r>
          </w:p>
          <w:p>
            <w:pPr>
              <w:adjustRightInd w:val="0"/>
              <w:snapToGrid w:val="0"/>
              <w:spacing w:line="360" w:lineRule="auto"/>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注：①第1-6项提供执业医师的职称证复印件并加盖供应商公章，检验科医师提供技师证即可；②第7项中，省级或以上重点学科须提供评审相关文件；③执业医师和省级或以上重点学科专家执业地点须与供应商单位一致，若证书上无法体现，供应商也可提供医师执业地网上查询结果截图或其他能体现医师执业地点与供应商单位一致的有效证明材料。</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6</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质控保障方案</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6分</w:t>
            </w:r>
          </w:p>
        </w:tc>
        <w:tc>
          <w:tcPr>
            <w:tcW w:w="0" w:type="auto"/>
            <w:tcBorders>
              <w:tl2br w:val="nil"/>
              <w:tr2bl w:val="nil"/>
            </w:tcBorders>
            <w:vAlign w:val="center"/>
          </w:tcPr>
          <w:p>
            <w:pPr>
              <w:pStyle w:val="2"/>
            </w:pPr>
            <w:r>
              <w:rPr>
                <w:rFonts w:hint="eastAsia" w:cs="仿宋" w:asciiTheme="minorEastAsia" w:hAnsiTheme="minorEastAsia" w:eastAsiaTheme="minorEastAsia"/>
                <w:szCs w:val="21"/>
              </w:rPr>
              <w:t>1.根据供应商针对本项目提供的质控保障方案（包括质量管理机构</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人员配置计划</w:t>
            </w:r>
            <w:r>
              <w:rPr>
                <w:rFonts w:hint="eastAsia" w:cs="仿宋" w:asciiTheme="minorEastAsia" w:hAnsiTheme="minorEastAsia" w:eastAsiaTheme="minorEastAsia"/>
                <w:spacing w:val="-10"/>
                <w:szCs w:val="21"/>
              </w:rPr>
              <w:t>、</w:t>
            </w:r>
            <w:r>
              <w:rPr>
                <w:rFonts w:hint="eastAsia" w:cs="仿宋" w:asciiTheme="minorEastAsia" w:hAnsiTheme="minorEastAsia" w:eastAsiaTheme="minorEastAsia"/>
                <w:szCs w:val="21"/>
              </w:rPr>
              <w:t>人员培训服务</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人员职能分工</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质量检查流程</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质量保障措施）进行评审，每具有一项得1分，最多得6分；每缺少一项内容扣 1分，每有一处错误扣0.5 分，扣完为止。</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7</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拟为本项目配备的医疗设备</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16分</w:t>
            </w:r>
          </w:p>
        </w:tc>
        <w:tc>
          <w:tcPr>
            <w:tcW w:w="0" w:type="auto"/>
            <w:tcBorders>
              <w:tl2br w:val="nil"/>
              <w:tr2bl w:val="nil"/>
            </w:tcBorders>
            <w:vAlign w:val="center"/>
          </w:tcPr>
          <w:p>
            <w:pPr>
              <w:adjustRightInd w:val="0"/>
              <w:snapToGrid w:val="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1.供应商</w:t>
            </w:r>
            <w:r>
              <w:rPr>
                <w:rFonts w:hint="eastAsia" w:cs="仿宋" w:asciiTheme="minorEastAsia" w:hAnsiTheme="minorEastAsia" w:eastAsiaTheme="minorEastAsia"/>
                <w:spacing w:val="10"/>
                <w:sz w:val="21"/>
                <w:szCs w:val="21"/>
              </w:rPr>
              <w:t>为本</w:t>
            </w:r>
            <w:r>
              <w:rPr>
                <w:rFonts w:hint="eastAsia" w:cs="仿宋" w:asciiTheme="minorEastAsia" w:hAnsiTheme="minorEastAsia" w:eastAsiaTheme="minorEastAsia"/>
                <w:spacing w:val="12"/>
                <w:sz w:val="21"/>
                <w:szCs w:val="21"/>
              </w:rPr>
              <w:t>项</w:t>
            </w:r>
            <w:r>
              <w:rPr>
                <w:rFonts w:hint="eastAsia" w:cs="仿宋" w:asciiTheme="minorEastAsia" w:hAnsiTheme="minorEastAsia" w:eastAsiaTheme="minorEastAsia"/>
                <w:spacing w:val="10"/>
                <w:sz w:val="21"/>
                <w:szCs w:val="21"/>
              </w:rPr>
              <w:t>目提供</w:t>
            </w:r>
            <w:r>
              <w:rPr>
                <w:rFonts w:hint="eastAsia" w:cs="仿宋" w:asciiTheme="minorEastAsia" w:hAnsiTheme="minorEastAsia" w:eastAsiaTheme="minorEastAsia"/>
                <w:spacing w:val="12"/>
                <w:sz w:val="21"/>
                <w:szCs w:val="21"/>
              </w:rPr>
              <w:t>独</w:t>
            </w:r>
            <w:r>
              <w:rPr>
                <w:rFonts w:hint="eastAsia" w:cs="仿宋" w:asciiTheme="minorEastAsia" w:hAnsiTheme="minorEastAsia" w:eastAsiaTheme="minorEastAsia"/>
                <w:spacing w:val="10"/>
                <w:sz w:val="21"/>
                <w:szCs w:val="21"/>
              </w:rPr>
              <w:t>立配备</w:t>
            </w:r>
            <w:r>
              <w:rPr>
                <w:rFonts w:hint="eastAsia" w:cs="仿宋" w:asciiTheme="minorEastAsia" w:hAnsiTheme="minorEastAsia" w:eastAsiaTheme="minorEastAsia"/>
                <w:spacing w:val="12"/>
                <w:sz w:val="21"/>
                <w:szCs w:val="21"/>
              </w:rPr>
              <w:t>的</w:t>
            </w:r>
            <w:r>
              <w:rPr>
                <w:rFonts w:hint="eastAsia" w:cs="仿宋" w:asciiTheme="minorEastAsia" w:hAnsiTheme="minorEastAsia" w:eastAsiaTheme="minorEastAsia"/>
                <w:spacing w:val="10"/>
                <w:sz w:val="21"/>
                <w:szCs w:val="21"/>
              </w:rPr>
              <w:t>彩超在</w:t>
            </w:r>
            <w:r>
              <w:rPr>
                <w:rFonts w:hint="eastAsia" w:cs="仿宋" w:asciiTheme="minorEastAsia" w:hAnsiTheme="minorEastAsia" w:eastAsiaTheme="minorEastAsia"/>
                <w:spacing w:val="12"/>
                <w:sz w:val="21"/>
                <w:szCs w:val="21"/>
              </w:rPr>
              <w:t>满</w:t>
            </w:r>
            <w:r>
              <w:rPr>
                <w:rFonts w:hint="eastAsia" w:cs="仿宋" w:asciiTheme="minorEastAsia" w:hAnsiTheme="minorEastAsia" w:eastAsiaTheme="minorEastAsia"/>
                <w:spacing w:val="10"/>
                <w:sz w:val="21"/>
                <w:szCs w:val="21"/>
              </w:rPr>
              <w:t>足服务</w:t>
            </w:r>
            <w:r>
              <w:rPr>
                <w:rFonts w:hint="eastAsia" w:cs="仿宋" w:asciiTheme="minorEastAsia" w:hAnsiTheme="minorEastAsia" w:eastAsiaTheme="minorEastAsia"/>
                <w:spacing w:val="12"/>
                <w:sz w:val="21"/>
                <w:szCs w:val="21"/>
              </w:rPr>
              <w:t>要</w:t>
            </w:r>
            <w:r>
              <w:rPr>
                <w:rFonts w:hint="eastAsia" w:cs="仿宋" w:asciiTheme="minorEastAsia" w:hAnsiTheme="minorEastAsia" w:eastAsiaTheme="minorEastAsia"/>
                <w:sz w:val="21"/>
                <w:szCs w:val="21"/>
              </w:rPr>
              <w:t>求的基础上，每增加</w:t>
            </w:r>
            <w:r>
              <w:rPr>
                <w:rFonts w:hint="eastAsia" w:cs="仿宋" w:asciiTheme="minorEastAsia" w:hAnsiTheme="minorEastAsia" w:eastAsiaTheme="minorEastAsia"/>
                <w:w w:val="85"/>
                <w:sz w:val="21"/>
                <w:szCs w:val="21"/>
              </w:rPr>
              <w:t>1</w:t>
            </w:r>
            <w:r>
              <w:rPr>
                <w:rFonts w:hint="eastAsia" w:cs="仿宋" w:asciiTheme="minorEastAsia" w:hAnsiTheme="minorEastAsia" w:eastAsiaTheme="minorEastAsia"/>
                <w:sz w:val="21"/>
                <w:szCs w:val="21"/>
              </w:rPr>
              <w:t>台得</w:t>
            </w:r>
            <w:r>
              <w:rPr>
                <w:rFonts w:hint="eastAsia" w:cs="仿宋" w:asciiTheme="minorEastAsia" w:hAnsiTheme="minorEastAsia" w:eastAsiaTheme="minorEastAsia"/>
                <w:w w:val="85"/>
                <w:sz w:val="21"/>
                <w:szCs w:val="21"/>
              </w:rPr>
              <w:t>2</w:t>
            </w:r>
            <w:r>
              <w:rPr>
                <w:rFonts w:hint="eastAsia" w:cs="仿宋" w:asciiTheme="minorEastAsia" w:hAnsiTheme="minorEastAsia" w:eastAsiaTheme="minorEastAsia"/>
                <w:sz w:val="21"/>
                <w:szCs w:val="21"/>
              </w:rPr>
              <w:t>分，最高得</w:t>
            </w:r>
            <w:r>
              <w:rPr>
                <w:rFonts w:hint="eastAsia" w:cs="仿宋" w:asciiTheme="minorEastAsia" w:hAnsiTheme="minorEastAsia" w:eastAsiaTheme="minorEastAsia"/>
                <w:w w:val="85"/>
                <w:sz w:val="21"/>
                <w:szCs w:val="21"/>
              </w:rPr>
              <w:t>10</w:t>
            </w:r>
            <w:r>
              <w:rPr>
                <w:rFonts w:hint="eastAsia" w:cs="仿宋" w:asciiTheme="minorEastAsia" w:hAnsiTheme="minorEastAsia" w:eastAsiaTheme="minorEastAsia"/>
                <w:sz w:val="21"/>
                <w:szCs w:val="21"/>
              </w:rPr>
              <w:t>分。</w:t>
            </w:r>
          </w:p>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2.供应商</w:t>
            </w:r>
            <w:r>
              <w:rPr>
                <w:rFonts w:hint="eastAsia" w:cs="仿宋" w:asciiTheme="minorEastAsia" w:hAnsiTheme="minorEastAsia" w:eastAsiaTheme="minorEastAsia"/>
                <w:spacing w:val="5"/>
                <w:sz w:val="21"/>
                <w:szCs w:val="21"/>
              </w:rPr>
              <w:t>为本项目提供供应商自己拥有的独立配备</w:t>
            </w:r>
            <w:r>
              <w:rPr>
                <w:rFonts w:hint="eastAsia" w:cs="仿宋" w:asciiTheme="minorEastAsia" w:hAnsiTheme="minorEastAsia" w:eastAsiaTheme="minorEastAsia"/>
                <w:sz w:val="21"/>
                <w:szCs w:val="21"/>
              </w:rPr>
              <w:t>的</w:t>
            </w:r>
            <w:r>
              <w:rPr>
                <w:rFonts w:hint="eastAsia" w:cs="仿宋" w:asciiTheme="minorEastAsia" w:hAnsiTheme="minorEastAsia" w:eastAsiaTheme="minorEastAsia"/>
                <w:w w:val="80"/>
                <w:sz w:val="21"/>
                <w:szCs w:val="21"/>
              </w:rPr>
              <w:t>CT</w:t>
            </w:r>
            <w:r>
              <w:rPr>
                <w:rFonts w:hint="eastAsia" w:cs="仿宋" w:asciiTheme="minorEastAsia" w:hAnsiTheme="minorEastAsia" w:eastAsiaTheme="minorEastAsia"/>
                <w:spacing w:val="5"/>
                <w:sz w:val="21"/>
                <w:szCs w:val="21"/>
              </w:rPr>
              <w:t>在满足服务要求</w:t>
            </w:r>
            <w:r>
              <w:rPr>
                <w:rFonts w:hint="eastAsia" w:cs="仿宋" w:asciiTheme="minorEastAsia" w:hAnsiTheme="minorEastAsia" w:eastAsiaTheme="minorEastAsia"/>
                <w:sz w:val="21"/>
                <w:szCs w:val="21"/>
              </w:rPr>
              <w:t>的基础上，每增加</w:t>
            </w:r>
            <w:r>
              <w:rPr>
                <w:rFonts w:hint="eastAsia" w:cs="仿宋" w:asciiTheme="minorEastAsia" w:hAnsiTheme="minorEastAsia" w:eastAsiaTheme="minorEastAsia"/>
                <w:w w:val="85"/>
                <w:sz w:val="21"/>
                <w:szCs w:val="21"/>
              </w:rPr>
              <w:t>1</w:t>
            </w:r>
            <w:r>
              <w:rPr>
                <w:rFonts w:hint="eastAsia" w:cs="仿宋" w:asciiTheme="minorEastAsia" w:hAnsiTheme="minorEastAsia" w:eastAsiaTheme="minorEastAsia"/>
                <w:sz w:val="21"/>
                <w:szCs w:val="21"/>
              </w:rPr>
              <w:t>台得</w:t>
            </w:r>
            <w:r>
              <w:rPr>
                <w:rFonts w:hint="eastAsia" w:cs="仿宋" w:asciiTheme="minorEastAsia" w:hAnsiTheme="minorEastAsia" w:eastAsiaTheme="minorEastAsia"/>
                <w:w w:val="85"/>
                <w:sz w:val="21"/>
                <w:szCs w:val="21"/>
              </w:rPr>
              <w:t>2</w:t>
            </w:r>
            <w:r>
              <w:rPr>
                <w:rFonts w:hint="eastAsia" w:cs="仿宋" w:asciiTheme="minorEastAsia" w:hAnsiTheme="minorEastAsia" w:eastAsiaTheme="minorEastAsia"/>
                <w:sz w:val="21"/>
                <w:szCs w:val="21"/>
              </w:rPr>
              <w:t>分，最高得</w:t>
            </w:r>
            <w:r>
              <w:rPr>
                <w:rFonts w:hint="eastAsia" w:cs="仿宋" w:asciiTheme="minorEastAsia" w:hAnsiTheme="minorEastAsia" w:eastAsiaTheme="minorEastAsia"/>
                <w:w w:val="85"/>
                <w:sz w:val="21"/>
                <w:szCs w:val="21"/>
              </w:rPr>
              <w:t>4</w:t>
            </w:r>
            <w:r>
              <w:rPr>
                <w:rFonts w:hint="eastAsia" w:cs="仿宋" w:asciiTheme="minorEastAsia" w:hAnsiTheme="minorEastAsia" w:eastAsiaTheme="minorEastAsia"/>
                <w:sz w:val="21"/>
                <w:szCs w:val="21"/>
              </w:rPr>
              <w:t>分。</w:t>
            </w:r>
          </w:p>
          <w:p>
            <w:pPr>
              <w:adjustRightInd w:val="0"/>
              <w:snapToGrid w:val="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注</w:t>
            </w:r>
            <w:r>
              <w:rPr>
                <w:rFonts w:hint="eastAsia" w:cs="仿宋" w:asciiTheme="minorEastAsia" w:hAnsiTheme="minorEastAsia" w:eastAsiaTheme="minorEastAsia"/>
                <w:spacing w:val="-5"/>
                <w:sz w:val="21"/>
                <w:szCs w:val="21"/>
              </w:rPr>
              <w:t>：</w:t>
            </w:r>
            <w:r>
              <w:rPr>
                <w:rFonts w:hint="eastAsia" w:cs="仿宋" w:asciiTheme="minorEastAsia" w:hAnsiTheme="minorEastAsia" w:eastAsiaTheme="minorEastAsia"/>
                <w:sz w:val="21"/>
                <w:szCs w:val="21"/>
              </w:rPr>
              <w:t>需提供以下材料</w:t>
            </w:r>
            <w:r>
              <w:rPr>
                <w:rFonts w:hint="eastAsia" w:cs="仿宋" w:asciiTheme="minorEastAsia" w:hAnsiTheme="minorEastAsia" w:eastAsiaTheme="minorEastAsia"/>
                <w:spacing w:val="-5"/>
                <w:sz w:val="21"/>
                <w:szCs w:val="21"/>
              </w:rPr>
              <w:t>：</w:t>
            </w:r>
            <w:r>
              <w:rPr>
                <w:rFonts w:hint="eastAsia" w:cs="仿宋" w:asciiTheme="minorEastAsia" w:hAnsiTheme="minorEastAsia" w:eastAsiaTheme="minorEastAsia"/>
                <w:sz w:val="21"/>
                <w:szCs w:val="21"/>
              </w:rPr>
              <w:t>①相应设备的照片</w:t>
            </w:r>
            <w:r>
              <w:rPr>
                <w:rFonts w:hint="eastAsia" w:cs="仿宋" w:asciiTheme="minorEastAsia" w:hAnsiTheme="minorEastAsia" w:eastAsiaTheme="minorEastAsia"/>
                <w:spacing w:val="-5"/>
                <w:sz w:val="21"/>
                <w:szCs w:val="21"/>
              </w:rPr>
              <w:t>，</w:t>
            </w:r>
            <w:r>
              <w:rPr>
                <w:rFonts w:hint="eastAsia" w:cs="仿宋" w:asciiTheme="minorEastAsia" w:hAnsiTheme="minorEastAsia" w:eastAsiaTheme="minorEastAsia"/>
                <w:sz w:val="21"/>
                <w:szCs w:val="21"/>
              </w:rPr>
              <w:t>②设备购买发票或购买合同复印件。</w:t>
            </w:r>
          </w:p>
          <w:p>
            <w:r>
              <w:rPr>
                <w:rFonts w:hint="eastAsia" w:cs="仿宋" w:asciiTheme="minorEastAsia" w:hAnsiTheme="minorEastAsia" w:eastAsiaTheme="minorEastAsia"/>
                <w:spacing w:val="5"/>
                <w:sz w:val="21"/>
                <w:szCs w:val="21"/>
              </w:rPr>
              <w:t>3.供应商配备的生化分析仪及化学发光仪设备数量为2台得1分，在此基础上，每增加1台加1分，本项最高得2分。提供1台生化分析仪及化学发光仪设备或不提供的不得分。</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8</w:t>
            </w:r>
          </w:p>
        </w:tc>
        <w:tc>
          <w:tcPr>
            <w:tcW w:w="0" w:type="auto"/>
            <w:tcBorders>
              <w:tl2br w:val="nil"/>
              <w:tr2bl w:val="nil"/>
            </w:tcBorders>
            <w:vAlign w:val="center"/>
          </w:tcPr>
          <w:p>
            <w:pPr>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履约能力</w:t>
            </w:r>
          </w:p>
        </w:tc>
        <w:tc>
          <w:tcPr>
            <w:tcW w:w="0" w:type="auto"/>
            <w:tcBorders>
              <w:tl2br w:val="nil"/>
              <w:tr2bl w:val="nil"/>
            </w:tcBorders>
            <w:vAlign w:val="center"/>
          </w:tcPr>
          <w:p>
            <w:pPr>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6分</w:t>
            </w:r>
          </w:p>
        </w:tc>
        <w:tc>
          <w:tcPr>
            <w:tcW w:w="0" w:type="auto"/>
            <w:tcBorders>
              <w:tl2br w:val="nil"/>
              <w:tr2bl w:val="nil"/>
            </w:tcBorders>
          </w:tcPr>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供应商每提供一个2019年至今类似本项目（100人以上单位）履约经验的得2分，本项最多得6分。（注：提供合同复印件或中标（成交）通知书复印件加盖公（鲜）章，未按要求提供的不得分）</w:t>
            </w:r>
          </w:p>
          <w:p>
            <w:pPr>
              <w:pStyle w:val="2"/>
            </w:pPr>
            <w:r>
              <w:rPr>
                <w:rFonts w:hint="eastAsia" w:cs="仿宋" w:asciiTheme="minorEastAsia" w:hAnsiTheme="minorEastAsia" w:eastAsiaTheme="minorEastAsia"/>
                <w:szCs w:val="21"/>
              </w:rPr>
              <w:t>注：业绩证明材料以合同或中标（成交）通知书为准。</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tcBorders>
              <w:tl2br w:val="nil"/>
              <w:tr2bl w:val="nil"/>
            </w:tcBorders>
            <w:vAlign w:val="center"/>
          </w:tcPr>
          <w:p>
            <w:pPr>
              <w:adjustRightInd w:val="0"/>
              <w:snapToGrid w:val="0"/>
              <w:spacing w:line="360" w:lineRule="auto"/>
              <w:ind w:firstLine="28"/>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9</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响应文件的规范性</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2分</w:t>
            </w:r>
          </w:p>
        </w:tc>
        <w:tc>
          <w:tcPr>
            <w:tcW w:w="0" w:type="auto"/>
            <w:tcBorders>
              <w:tl2br w:val="nil"/>
              <w:tr2bl w:val="nil"/>
            </w:tcBorders>
            <w:vAlign w:val="center"/>
          </w:tcPr>
          <w:p>
            <w:pPr>
              <w:adjustRightInd w:val="0"/>
              <w:snapToGrid w:val="0"/>
              <w:spacing w:line="360" w:lineRule="auto"/>
              <w:ind w:firstLine="28"/>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响应文件制作规范，没有细微偏差情形的得2分；有一项细微偏差扣0.5分，直至该项分值扣完为止。</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bl>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612" w:firstLineChars="238"/>
        <w:jc w:val="left"/>
        <w:rPr>
          <w:rFonts w:hAnsi="宋体" w:cs="宋体"/>
          <w:b/>
          <w:bCs/>
          <w:spacing w:val="8"/>
          <w:sz w:val="24"/>
          <w:szCs w:val="24"/>
        </w:rPr>
      </w:pPr>
      <w:r>
        <w:rPr>
          <w:rFonts w:hint="eastAsia" w:hAnsi="宋体" w:cs="宋体"/>
          <w:b/>
          <w:bCs/>
          <w:spacing w:val="8"/>
          <w:sz w:val="24"/>
          <w:szCs w:val="24"/>
        </w:rPr>
        <w:t xml:space="preserve">二、投标文件的澄清 </w:t>
      </w:r>
    </w:p>
    <w:p>
      <w:pPr>
        <w:adjustRightInd w:val="0"/>
        <w:snapToGrid w:val="0"/>
        <w:spacing w:line="360" w:lineRule="auto"/>
        <w:ind w:firstLine="609" w:firstLineChars="238"/>
        <w:jc w:val="left"/>
        <w:rPr>
          <w:rFonts w:hAnsi="宋体" w:cs="宋体"/>
          <w:bCs/>
          <w:spacing w:val="8"/>
          <w:sz w:val="24"/>
          <w:szCs w:val="24"/>
        </w:rPr>
      </w:pPr>
      <w:r>
        <w:rPr>
          <w:rFonts w:hint="eastAsia" w:hAnsi="宋体" w:cs="宋体"/>
          <w:bCs/>
          <w:spacing w:val="8"/>
          <w:sz w:val="24"/>
          <w:szCs w:val="24"/>
        </w:rPr>
        <w:t>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bookmarkEnd w:id="98"/>
      <w:bookmarkEnd w:id="99"/>
      <w:bookmarkEnd w:id="100"/>
      <w:bookmarkEnd w:id="101"/>
      <w:r>
        <w:rPr>
          <w:rFonts w:hint="eastAsia" w:hAnsi="宋体" w:cs="宋体"/>
          <w:bCs/>
          <w:spacing w:val="8"/>
          <w:sz w:val="24"/>
          <w:szCs w:val="24"/>
        </w:rPr>
        <w:t>。</w:t>
      </w:r>
    </w:p>
    <w:bookmarkEnd w:id="41"/>
    <w:bookmarkEnd w:id="42"/>
    <w:p>
      <w:pPr>
        <w:pStyle w:val="3"/>
        <w:snapToGrid w:val="0"/>
        <w:spacing w:before="0" w:after="0" w:line="360" w:lineRule="auto"/>
        <w:ind w:firstLine="2711" w:firstLineChars="900"/>
        <w:rPr>
          <w:rFonts w:hAnsi="宋体" w:cs="宋体"/>
          <w:sz w:val="30"/>
          <w:szCs w:val="30"/>
        </w:rPr>
      </w:pPr>
    </w:p>
    <w:p>
      <w:pPr>
        <w:pStyle w:val="3"/>
        <w:snapToGrid w:val="0"/>
        <w:spacing w:before="0" w:after="0" w:line="360" w:lineRule="auto"/>
        <w:ind w:firstLine="2711" w:firstLineChars="900"/>
        <w:rPr>
          <w:rFonts w:hAnsi="宋体" w:cs="宋体"/>
          <w:sz w:val="30"/>
          <w:szCs w:val="30"/>
        </w:rPr>
      </w:pPr>
      <w:r>
        <w:rPr>
          <w:rFonts w:hint="eastAsia" w:hAnsi="宋体" w:cs="宋体"/>
          <w:sz w:val="30"/>
          <w:szCs w:val="30"/>
        </w:rPr>
        <w:t>第六章 合同主要条款</w:t>
      </w:r>
    </w:p>
    <w:p>
      <w:pPr>
        <w:jc w:val="center"/>
      </w:pPr>
      <w:r>
        <w:rPr>
          <w:rFonts w:hint="eastAsia" w:ascii="Times New Roman" w:hAnsi="宋体" w:cs="宋体"/>
          <w:b/>
          <w:bCs/>
          <w:sz w:val="24"/>
          <w:szCs w:val="24"/>
        </w:rPr>
        <w:t>（仅供参考</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6"/>
        <w:tab w:val="clear" w:pos="4140"/>
        <w:tab w:val="clear" w:pos="8300"/>
      </w:tabs>
      <w:jc w:val="center"/>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both"/>
    </w:pPr>
    <w:r>
      <w:pict>
        <v:rect id="_x0000_s3074" o:spid="_x0000_s3074"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Oqv4qAAIAAPUDAAAOAAAAAAAAAAEAIAAAACABAABkcnMvZTJvRG9j&#10;LnhtbFBLBQYAAAAABgAGAFkBAACSBQ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w:pict>
        <v:rect id="矩形 3" o:spid="_x0000_s3073"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Ansi="宋体"/>
      </w:rPr>
    </w:pPr>
    <w:r>
      <w:rPr>
        <w:rFonts w:hint="eastAsia" w:hAnsi="宋体"/>
      </w:rPr>
      <w:t>内江校区2022年职工体检采购项目－招标文件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5367A"/>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66D3"/>
    <w:rsid w:val="00157635"/>
    <w:rsid w:val="0016568C"/>
    <w:rsid w:val="00172A27"/>
    <w:rsid w:val="00181E14"/>
    <w:rsid w:val="00185388"/>
    <w:rsid w:val="001943F1"/>
    <w:rsid w:val="001A1EDF"/>
    <w:rsid w:val="001A3304"/>
    <w:rsid w:val="001C4C5D"/>
    <w:rsid w:val="001E077D"/>
    <w:rsid w:val="0021094F"/>
    <w:rsid w:val="002114B9"/>
    <w:rsid w:val="0021517F"/>
    <w:rsid w:val="00215D24"/>
    <w:rsid w:val="00230A0A"/>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0842"/>
    <w:rsid w:val="00351B66"/>
    <w:rsid w:val="003728FF"/>
    <w:rsid w:val="00374997"/>
    <w:rsid w:val="00376338"/>
    <w:rsid w:val="0038282C"/>
    <w:rsid w:val="003C2094"/>
    <w:rsid w:val="003C23D6"/>
    <w:rsid w:val="003C49AF"/>
    <w:rsid w:val="003D00DA"/>
    <w:rsid w:val="003D11A5"/>
    <w:rsid w:val="003D4974"/>
    <w:rsid w:val="003D6934"/>
    <w:rsid w:val="003E1BF9"/>
    <w:rsid w:val="003E55CF"/>
    <w:rsid w:val="0040317E"/>
    <w:rsid w:val="00404040"/>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96"/>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E1F9E"/>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6F52FF"/>
    <w:rsid w:val="00707F54"/>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06DC"/>
    <w:rsid w:val="008351A2"/>
    <w:rsid w:val="008465E2"/>
    <w:rsid w:val="00850AE8"/>
    <w:rsid w:val="0085182D"/>
    <w:rsid w:val="00852219"/>
    <w:rsid w:val="00854B0E"/>
    <w:rsid w:val="00861B35"/>
    <w:rsid w:val="00861D35"/>
    <w:rsid w:val="008705D4"/>
    <w:rsid w:val="008721DC"/>
    <w:rsid w:val="008826E8"/>
    <w:rsid w:val="00884EA2"/>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3D7E"/>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E397A"/>
    <w:rsid w:val="009F639B"/>
    <w:rsid w:val="00A0208D"/>
    <w:rsid w:val="00A03414"/>
    <w:rsid w:val="00A075C3"/>
    <w:rsid w:val="00A11CF0"/>
    <w:rsid w:val="00A13D90"/>
    <w:rsid w:val="00A2152A"/>
    <w:rsid w:val="00A23C2C"/>
    <w:rsid w:val="00A26126"/>
    <w:rsid w:val="00A27709"/>
    <w:rsid w:val="00A415A9"/>
    <w:rsid w:val="00A57A27"/>
    <w:rsid w:val="00A62532"/>
    <w:rsid w:val="00A666D3"/>
    <w:rsid w:val="00A7009A"/>
    <w:rsid w:val="00A80063"/>
    <w:rsid w:val="00A92172"/>
    <w:rsid w:val="00A9666E"/>
    <w:rsid w:val="00AA1D32"/>
    <w:rsid w:val="00AA4F6C"/>
    <w:rsid w:val="00AE0E42"/>
    <w:rsid w:val="00AE5591"/>
    <w:rsid w:val="00B10AC3"/>
    <w:rsid w:val="00B153B0"/>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370A5"/>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1C2B"/>
    <w:rsid w:val="00E8706F"/>
    <w:rsid w:val="00E912D9"/>
    <w:rsid w:val="00EA3731"/>
    <w:rsid w:val="00EA6F1B"/>
    <w:rsid w:val="00EC14D2"/>
    <w:rsid w:val="00ED6EA0"/>
    <w:rsid w:val="00EE1B3C"/>
    <w:rsid w:val="00EE4D94"/>
    <w:rsid w:val="00EF4DBE"/>
    <w:rsid w:val="00EF7675"/>
    <w:rsid w:val="00F604E1"/>
    <w:rsid w:val="00F82A64"/>
    <w:rsid w:val="00F86B39"/>
    <w:rsid w:val="00FA0D6E"/>
    <w:rsid w:val="00FB67F2"/>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C506B1"/>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226F38"/>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1D60A5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7F1F09"/>
    <w:rsid w:val="1780519C"/>
    <w:rsid w:val="1784532C"/>
    <w:rsid w:val="17A553DC"/>
    <w:rsid w:val="17B0376D"/>
    <w:rsid w:val="17B23E82"/>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66AA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1C33C53"/>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A73AC3"/>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391D05"/>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9B2BBB"/>
    <w:rsid w:val="57A046BB"/>
    <w:rsid w:val="57CB6E97"/>
    <w:rsid w:val="57EA3EC9"/>
    <w:rsid w:val="58021570"/>
    <w:rsid w:val="581F309E"/>
    <w:rsid w:val="582B01B6"/>
    <w:rsid w:val="583974CB"/>
    <w:rsid w:val="5852474D"/>
    <w:rsid w:val="5854137A"/>
    <w:rsid w:val="58587D80"/>
    <w:rsid w:val="589233DD"/>
    <w:rsid w:val="58B4529D"/>
    <w:rsid w:val="58C603B4"/>
    <w:rsid w:val="58D36F7C"/>
    <w:rsid w:val="58EF7EF3"/>
    <w:rsid w:val="590B30A7"/>
    <w:rsid w:val="592D105D"/>
    <w:rsid w:val="59311C62"/>
    <w:rsid w:val="59635CB4"/>
    <w:rsid w:val="59785C59"/>
    <w:rsid w:val="59820767"/>
    <w:rsid w:val="598A113A"/>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3E2C7E"/>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091638"/>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04FA5"/>
    <w:rsid w:val="6DA11102"/>
    <w:rsid w:val="6DBB3515"/>
    <w:rsid w:val="6DC30922"/>
    <w:rsid w:val="6DEC1AE6"/>
    <w:rsid w:val="6EB56FB1"/>
    <w:rsid w:val="6F085736"/>
    <w:rsid w:val="6F2F55F5"/>
    <w:rsid w:val="6F306560"/>
    <w:rsid w:val="6F655B31"/>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7722D7"/>
    <w:rsid w:val="738E13A2"/>
    <w:rsid w:val="73A722CC"/>
    <w:rsid w:val="73CC6C88"/>
    <w:rsid w:val="7427609D"/>
    <w:rsid w:val="74563369"/>
    <w:rsid w:val="74680181"/>
    <w:rsid w:val="746B4EDD"/>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05572"/>
    <w:rsid w:val="77311518"/>
    <w:rsid w:val="777E4E9B"/>
    <w:rsid w:val="77C201E8"/>
    <w:rsid w:val="77D67AA8"/>
    <w:rsid w:val="77FE53E9"/>
    <w:rsid w:val="78393716"/>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31"/>
    <w:qFormat/>
    <w:uiPriority w:val="0"/>
    <w:pPr>
      <w:ind w:firstLine="420" w:firstLineChars="200"/>
    </w:pPr>
    <w:rPr>
      <w:rFonts w:ascii="Times New Roman"/>
      <w:kern w:val="2"/>
      <w:sz w:val="21"/>
      <w:szCs w:val="24"/>
    </w:rPr>
  </w:style>
  <w:style w:type="paragraph" w:styleId="6">
    <w:name w:val="annotation text"/>
    <w:basedOn w:val="1"/>
    <w:link w:val="76"/>
    <w:qFormat/>
    <w:uiPriority w:val="0"/>
    <w:pPr>
      <w:jc w:val="left"/>
    </w:pPr>
    <w:rPr>
      <w:rFonts w:ascii="Times New Roman"/>
    </w:rPr>
  </w:style>
  <w:style w:type="paragraph" w:styleId="7">
    <w:name w:val="Body Text"/>
    <w:basedOn w:val="1"/>
    <w:qFormat/>
    <w:uiPriority w:val="0"/>
    <w:pPr>
      <w:spacing w:after="120"/>
    </w:pPr>
    <w:rPr>
      <w:rFonts w:ascii="Times New Roman"/>
    </w:rPr>
  </w:style>
  <w:style w:type="paragraph" w:styleId="8">
    <w:name w:val="Body Text Indent"/>
    <w:basedOn w:val="1"/>
    <w:link w:val="39"/>
    <w:qFormat/>
    <w:uiPriority w:val="0"/>
    <w:pPr>
      <w:ind w:firstLine="630"/>
    </w:pPr>
    <w:rPr>
      <w:rFonts w:ascii="Times New Roman"/>
      <w:kern w:val="2"/>
      <w:sz w:val="32"/>
    </w:rPr>
  </w:style>
  <w:style w:type="paragraph" w:styleId="9">
    <w:name w:val="Plain Text"/>
    <w:basedOn w:val="1"/>
    <w:link w:val="48"/>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Arial" w:hAnsi="Arial" w:eastAsia="宋体" w:cs="Arial"/>
      <w:color w:val="007CD2"/>
      <w:sz w:val="24"/>
      <w:szCs w:val="24"/>
      <w:u w:val="none"/>
    </w:rPr>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cs="Times New Roman"/>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Char"/>
    <w:link w:val="2"/>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Char"/>
    <w:link w:val="8"/>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Char"/>
    <w:link w:val="9"/>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76">
    <w:name w:val="批注文字 Char"/>
    <w:basedOn w:val="21"/>
    <w:link w:val="6"/>
    <w:qFormat/>
    <w:uiPriority w:val="0"/>
    <w:rPr>
      <w:rFonts w:hAnsi="Calibri"/>
      <w:sz w:val="3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4AF34-EF4D-4281-9912-D05DFE7867F1}">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26</Pages>
  <Words>10514</Words>
  <Characters>11070</Characters>
  <Lines>88</Lines>
  <Paragraphs>25</Paragraphs>
  <TotalTime>639</TotalTime>
  <ScaleCrop>false</ScaleCrop>
  <LinksUpToDate>false</LinksUpToDate>
  <CharactersWithSpaces>11374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2022-10-27T08:56:00Z</cp:lastPrinted>
  <dcterms:modified xsi:type="dcterms:W3CDTF">2022-11-07T09:09:01Z</dcterms:modified>
  <dc:title>招标编号：SCSZ-2013-02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E7558D7948BD46B49D504D1EAC59F27E</vt:lpwstr>
  </property>
</Properties>
</file>