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int="eastAsia" w:hAnsi="宋体" w:cs="宋体"/>
          <w:bCs/>
          <w:sz w:val="36"/>
          <w:szCs w:val="36"/>
        </w:rPr>
      </w:pPr>
      <w:r>
        <w:rPr>
          <w:rFonts w:hint="eastAsia" w:hAnsi="宋体" w:cs="宋体"/>
          <w:bCs/>
          <w:sz w:val="36"/>
          <w:szCs w:val="36"/>
        </w:rPr>
        <w:t>四川铁道职业学院2</w:t>
      </w:r>
      <w:r>
        <w:rPr>
          <w:rFonts w:hAnsi="宋体" w:cs="宋体"/>
          <w:bCs/>
          <w:sz w:val="36"/>
          <w:szCs w:val="36"/>
        </w:rPr>
        <w:t>022</w:t>
      </w:r>
      <w:r>
        <w:rPr>
          <w:rFonts w:hint="eastAsia" w:hAnsi="宋体" w:cs="宋体"/>
          <w:bCs/>
          <w:sz w:val="36"/>
          <w:szCs w:val="36"/>
        </w:rPr>
        <w:t>届毕业生就业质量报告</w:t>
      </w: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撰写</w:t>
      </w:r>
      <w:r>
        <w:rPr>
          <w:rFonts w:hint="eastAsia" w:hAnsi="宋体" w:cs="宋体"/>
          <w:bCs/>
          <w:sz w:val="36"/>
          <w:szCs w:val="36"/>
          <w:lang w:val="en-US" w:eastAsia="zh-CN"/>
        </w:rPr>
        <w:t>与</w:t>
      </w:r>
      <w:r>
        <w:rPr>
          <w:rFonts w:hint="eastAsia" w:hAnsi="宋体" w:cs="宋体"/>
          <w:bCs/>
          <w:sz w:val="36"/>
          <w:szCs w:val="36"/>
        </w:rPr>
        <w:t>印刷项目</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w:t>
      </w:r>
      <w:r>
        <w:rPr>
          <w:rFonts w:hint="eastAsia" w:hAnsi="宋体" w:cs="宋体"/>
          <w:bCs/>
          <w:sz w:val="30"/>
          <w:szCs w:val="30"/>
          <w:lang w:val="en-US" w:eastAsia="zh-CN"/>
        </w:rPr>
        <w:t>TZY-ZB-2022027</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lang w:val="en-US" w:eastAsia="zh-CN"/>
        </w:rPr>
        <w:t>10</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0"/>
          <w:rFonts w:ascii="宋体" w:hAnsi="宋体" w:cs="宋体"/>
          <w:color w:val="auto"/>
          <w:kern w:val="2"/>
          <w:sz w:val="44"/>
          <w:szCs w:val="44"/>
          <w:u w:val="none"/>
        </w:rPr>
      </w:pPr>
      <w:r>
        <w:rPr>
          <w:rStyle w:val="20"/>
          <w:rFonts w:hint="eastAsia" w:ascii="宋体" w:hAnsi="宋体" w:cs="宋体"/>
          <w:color w:val="auto"/>
          <w:kern w:val="2"/>
          <w:sz w:val="44"/>
          <w:szCs w:val="44"/>
          <w:u w:val="none"/>
        </w:rPr>
        <w:t>目    录</w:t>
      </w:r>
    </w:p>
    <w:p/>
    <w:p>
      <w:pPr>
        <w:pStyle w:val="13"/>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lang w:val="en-US" w:eastAsia="zh-CN"/>
        </w:rPr>
        <w:t>3</w:t>
      </w:r>
      <w:r>
        <w:rPr>
          <w:rFonts w:hint="eastAsia" w:hAnsi="宋体" w:cs="宋体"/>
          <w:sz w:val="28"/>
          <w:szCs w:val="28"/>
        </w:rPr>
        <w:fldChar w:fldCharType="end"/>
      </w:r>
    </w:p>
    <w:p>
      <w:pPr>
        <w:pStyle w:val="13"/>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4</w:t>
      </w:r>
    </w:p>
    <w:p>
      <w:pPr>
        <w:pStyle w:val="13"/>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10</w:t>
      </w:r>
    </w:p>
    <w:p>
      <w:pPr>
        <w:pStyle w:val="13"/>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6</w:t>
      </w:r>
    </w:p>
    <w:p>
      <w:pPr>
        <w:pStyle w:val="13"/>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19</w:t>
      </w:r>
    </w:p>
    <w:p>
      <w:pPr>
        <w:pStyle w:val="13"/>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lang w:val="en-US" w:eastAsia="zh-CN"/>
        </w:rPr>
        <w:t>20</w:t>
      </w:r>
    </w:p>
    <w:p>
      <w:pPr>
        <w:pStyle w:val="13"/>
        <w:tabs>
          <w:tab w:val="right" w:leader="dot" w:pos="9175"/>
        </w:tabs>
        <w:snapToGrid w:val="0"/>
        <w:spacing w:line="480" w:lineRule="auto"/>
        <w:rPr>
          <w:rFonts w:hAnsi="宋体" w:cs="宋体"/>
          <w:sz w:val="28"/>
          <w:szCs w:val="28"/>
        </w:rPr>
      </w:pPr>
    </w:p>
    <w:p>
      <w:pPr>
        <w:tabs>
          <w:tab w:val="left" w:pos="1854"/>
        </w:tabs>
        <w:jc w:val="left"/>
        <w:sectPr>
          <w:headerReference r:id="rId3" w:type="default"/>
          <w:footerReference r:id="rId4" w:type="default"/>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20666"/>
      <w:bookmarkStart w:id="5" w:name="_Toc116221026"/>
      <w:r>
        <w:rPr>
          <w:rFonts w:hint="eastAsia" w:hAnsi="宋体" w:cs="宋体"/>
          <w:sz w:val="30"/>
          <w:szCs w:val="30"/>
        </w:rPr>
        <w:t>第一章  投标邀请</w:t>
      </w:r>
      <w:bookmarkEnd w:id="4"/>
      <w:bookmarkEnd w:id="5"/>
    </w:p>
    <w:p>
      <w:pPr>
        <w:snapToGrid w:val="0"/>
        <w:spacing w:line="360" w:lineRule="auto"/>
        <w:ind w:firstLine="480" w:firstLineChars="200"/>
        <w:rPr>
          <w:rFonts w:ascii="仿宋_GB2312" w:hAnsi="宋体" w:eastAsia="仿宋_GB2312"/>
          <w:sz w:val="28"/>
        </w:rPr>
      </w:pPr>
      <w:r>
        <w:rPr>
          <w:rFonts w:hint="eastAsia" w:hAnsi="宋体" w:cs="宋体"/>
          <w:bCs/>
          <w:sz w:val="24"/>
          <w:szCs w:val="24"/>
        </w:rPr>
        <w:t xml:space="preserve"> 四川铁道职业学院就</w:t>
      </w:r>
      <w:r>
        <w:rPr>
          <w:rFonts w:hint="eastAsia" w:hAnsi="宋体" w:cs="宋体"/>
          <w:b/>
          <w:sz w:val="24"/>
          <w:szCs w:val="24"/>
        </w:rPr>
        <w:t>2022届毕业生就业质量报告撰写</w:t>
      </w:r>
      <w:r>
        <w:rPr>
          <w:rFonts w:hint="eastAsia" w:hAnsi="宋体" w:cs="宋体"/>
          <w:b/>
          <w:sz w:val="24"/>
          <w:szCs w:val="24"/>
          <w:lang w:eastAsia="zh-CN"/>
        </w:rPr>
        <w:t>与</w:t>
      </w:r>
      <w:r>
        <w:rPr>
          <w:rFonts w:hint="eastAsia" w:hAnsi="宋体" w:cs="宋体"/>
          <w:b/>
          <w:sz w:val="24"/>
          <w:szCs w:val="24"/>
        </w:rPr>
        <w:t>印刷项目</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3"/>
        <w:numPr>
          <w:ilvl w:val="0"/>
          <w:numId w:val="1"/>
        </w:numPr>
        <w:snapToGrid w:val="0"/>
        <w:spacing w:after="0" w:line="360" w:lineRule="auto"/>
        <w:ind w:left="0" w:leftChars="0" w:firstLine="441" w:firstLineChars="183"/>
        <w:rPr>
          <w:rFonts w:hAnsi="宋体" w:cs="宋体"/>
          <w:bCs/>
          <w:sz w:val="24"/>
          <w:szCs w:val="24"/>
        </w:rPr>
      </w:pPr>
      <w:r>
        <w:rPr>
          <w:rFonts w:hint="eastAsia" w:hAnsi="宋体" w:cs="宋体"/>
          <w:b/>
          <w:sz w:val="24"/>
          <w:szCs w:val="24"/>
        </w:rPr>
        <w:t>招标编号：</w:t>
      </w:r>
      <w:r>
        <w:rPr>
          <w:rFonts w:hint="eastAsia" w:hAnsi="宋体" w:cs="宋体"/>
          <w:b/>
          <w:sz w:val="24"/>
          <w:szCs w:val="24"/>
          <w:lang w:val="en-US" w:eastAsia="zh-CN"/>
        </w:rPr>
        <w:t>TZY-ZB-2022027</w:t>
      </w:r>
    </w:p>
    <w:p>
      <w:pPr>
        <w:pStyle w:val="3"/>
        <w:numPr>
          <w:ilvl w:val="0"/>
          <w:numId w:val="1"/>
        </w:numPr>
        <w:snapToGrid w:val="0"/>
        <w:spacing w:after="0" w:line="360" w:lineRule="auto"/>
        <w:ind w:left="0" w:leftChars="0" w:firstLine="441" w:firstLineChars="183"/>
        <w:rPr>
          <w:rFonts w:hAnsi="宋体" w:cs="宋体"/>
          <w:bCs/>
          <w:sz w:val="24"/>
          <w:szCs w:val="24"/>
          <w:lang w:val="zh-CN"/>
        </w:rPr>
      </w:pPr>
      <w:r>
        <w:rPr>
          <w:rFonts w:hint="eastAsia" w:hAnsi="宋体" w:cs="宋体"/>
          <w:b/>
          <w:sz w:val="24"/>
          <w:szCs w:val="24"/>
        </w:rPr>
        <w:t>招标项目：四川铁道职业学院2022届毕业生就业质量报告撰写</w:t>
      </w:r>
      <w:r>
        <w:rPr>
          <w:rFonts w:hint="eastAsia" w:hAnsi="宋体" w:cs="宋体"/>
          <w:b/>
          <w:sz w:val="24"/>
          <w:szCs w:val="24"/>
          <w:lang w:eastAsia="zh-CN"/>
        </w:rPr>
        <w:t>与</w:t>
      </w:r>
      <w:r>
        <w:rPr>
          <w:rFonts w:hint="eastAsia" w:hAnsi="宋体" w:cs="宋体"/>
          <w:b/>
          <w:sz w:val="24"/>
          <w:szCs w:val="24"/>
        </w:rPr>
        <w:t>印刷项目</w:t>
      </w:r>
    </w:p>
    <w:p>
      <w:pPr>
        <w:pStyle w:val="3"/>
        <w:snapToGrid w:val="0"/>
        <w:spacing w:line="360" w:lineRule="auto"/>
        <w:ind w:left="418" w:leftChars="123"/>
        <w:rPr>
          <w:rFonts w:hint="eastAsia" w:hAnsi="宋体" w:eastAsia="宋体" w:cs="宋体"/>
          <w:b/>
          <w:sz w:val="24"/>
          <w:szCs w:val="24"/>
          <w:lang w:val="en-US" w:eastAsia="zh-CN"/>
        </w:rPr>
      </w:pPr>
      <w:r>
        <w:rPr>
          <w:rFonts w:hint="eastAsia" w:hAnsi="宋体" w:cs="宋体"/>
          <w:b/>
          <w:sz w:val="24"/>
          <w:szCs w:val="24"/>
        </w:rPr>
        <w:t>三、资金来源：</w:t>
      </w:r>
      <w:r>
        <w:rPr>
          <w:rFonts w:hint="eastAsia" w:hAnsi="宋体" w:cs="宋体"/>
          <w:b/>
          <w:sz w:val="24"/>
          <w:szCs w:val="24"/>
          <w:lang w:eastAsia="zh-CN"/>
        </w:rPr>
        <w:t>财政资金</w:t>
      </w:r>
    </w:p>
    <w:p>
      <w:pPr>
        <w:pStyle w:val="3"/>
        <w:snapToGrid w:val="0"/>
        <w:spacing w:line="360" w:lineRule="auto"/>
        <w:ind w:left="418" w:leftChars="123"/>
        <w:rPr>
          <w:rFonts w:hAnsi="宋体" w:cs="宋体"/>
          <w:b/>
          <w:sz w:val="24"/>
          <w:szCs w:val="24"/>
        </w:rPr>
      </w:pPr>
      <w:r>
        <w:rPr>
          <w:rFonts w:hint="eastAsia"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3"/>
        <w:snapToGrid w:val="0"/>
        <w:spacing w:line="320" w:lineRule="exact"/>
        <w:ind w:left="418" w:leftChars="123"/>
        <w:rPr>
          <w:rFonts w:hAnsi="宋体" w:cs="宋体"/>
          <w:b/>
          <w:sz w:val="24"/>
          <w:szCs w:val="24"/>
        </w:rPr>
      </w:pPr>
      <w:r>
        <w:rPr>
          <w:rFonts w:hint="eastAsia" w:hAnsi="宋体" w:cs="宋体"/>
          <w:b/>
          <w:sz w:val="24"/>
          <w:szCs w:val="24"/>
        </w:rPr>
        <w:t>五、供应商参加本次政府采购活动应具备下列条件：</w:t>
      </w:r>
    </w:p>
    <w:p>
      <w:pPr>
        <w:snapToGrid w:val="0"/>
        <w:spacing w:line="380" w:lineRule="exact"/>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38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38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38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38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38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38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380" w:lineRule="exact"/>
        <w:ind w:firstLine="600" w:firstLineChars="250"/>
        <w:rPr>
          <w:rFonts w:hAnsi="宋体" w:cs="宋体"/>
          <w:sz w:val="24"/>
          <w:szCs w:val="22"/>
        </w:rPr>
      </w:pPr>
      <w:r>
        <w:rPr>
          <w:rFonts w:hint="eastAsia" w:hAnsi="宋体" w:cs="宋体"/>
          <w:sz w:val="24"/>
          <w:szCs w:val="22"/>
        </w:rPr>
        <w:t>7.本项目不接受联合体参与招标。</w:t>
      </w:r>
    </w:p>
    <w:p>
      <w:pPr>
        <w:snapToGrid w:val="0"/>
        <w:spacing w:line="380" w:lineRule="exact"/>
        <w:ind w:firstLine="241" w:firstLineChars="100"/>
        <w:rPr>
          <w:rFonts w:hAnsi="宋体" w:cs="宋体"/>
          <w:b/>
          <w:sz w:val="24"/>
          <w:szCs w:val="24"/>
        </w:rPr>
      </w:pPr>
    </w:p>
    <w:p>
      <w:pPr>
        <w:snapToGrid w:val="0"/>
        <w:spacing w:line="380" w:lineRule="exact"/>
        <w:ind w:firstLine="482" w:firstLineChars="200"/>
        <w:rPr>
          <w:rFonts w:hAnsi="宋体" w:cs="宋体"/>
          <w:sz w:val="24"/>
          <w:szCs w:val="24"/>
        </w:rPr>
      </w:pPr>
      <w:r>
        <w:rPr>
          <w:rFonts w:hint="eastAsia" w:hAnsi="宋体" w:cs="宋体"/>
          <w:b/>
          <w:sz w:val="24"/>
          <w:szCs w:val="24"/>
        </w:rPr>
        <w:t xml:space="preserve">六、投标截止时间和开标时间： 2022 </w:t>
      </w:r>
      <w:r>
        <w:rPr>
          <w:rFonts w:hint="eastAsia" w:hAnsi="宋体" w:cs="宋体"/>
          <w:bCs/>
          <w:sz w:val="24"/>
          <w:szCs w:val="24"/>
        </w:rPr>
        <w:t>年</w:t>
      </w:r>
      <w:r>
        <w:rPr>
          <w:rFonts w:hAnsi="宋体" w:cs="宋体"/>
          <w:bCs/>
          <w:sz w:val="24"/>
          <w:szCs w:val="24"/>
        </w:rPr>
        <w:t xml:space="preserve"> </w:t>
      </w:r>
      <w:r>
        <w:rPr>
          <w:rFonts w:hint="eastAsia" w:hAnsi="宋体" w:cs="宋体"/>
          <w:bCs/>
          <w:sz w:val="24"/>
          <w:szCs w:val="24"/>
          <w:lang w:val="en-US" w:eastAsia="zh-CN"/>
        </w:rPr>
        <w:t>10月24日14:30</w:t>
      </w:r>
      <w:r>
        <w:rPr>
          <w:rFonts w:hAnsi="宋体" w:cs="宋体"/>
          <w:bCs/>
          <w:sz w:val="24"/>
          <w:szCs w:val="24"/>
        </w:rPr>
        <w:t xml:space="preserve"> </w:t>
      </w:r>
      <w:r>
        <w:rPr>
          <w:rFonts w:hint="eastAsia" w:hAnsi="宋体" w:cs="宋体"/>
          <w:sz w:val="24"/>
          <w:szCs w:val="24"/>
        </w:rPr>
        <w:t>（北京时间）。</w:t>
      </w:r>
    </w:p>
    <w:p>
      <w:pPr>
        <w:pStyle w:val="3"/>
        <w:snapToGrid w:val="0"/>
        <w:spacing w:line="380" w:lineRule="exact"/>
        <w:ind w:left="680" w:firstLine="439" w:firstLineChars="183"/>
        <w:rPr>
          <w:rFonts w:hAnsi="宋体" w:cs="宋体"/>
          <w:sz w:val="24"/>
          <w:szCs w:val="24"/>
        </w:rPr>
      </w:pPr>
      <w:r>
        <w:rPr>
          <w:rFonts w:hint="eastAsia" w:hAnsi="宋体" w:cs="宋体"/>
          <w:sz w:val="24"/>
          <w:szCs w:val="24"/>
        </w:rPr>
        <w:t>投标文件必须在投标截止时间前送达开标地点，并签到（签到地点：</w:t>
      </w:r>
      <w:r>
        <w:rPr>
          <w:rFonts w:hint="eastAsia" w:hAnsi="宋体" w:cs="宋体"/>
          <w:sz w:val="24"/>
          <w:lang w:eastAsia="zh-CN"/>
        </w:rPr>
        <w:t>四川省成都市郫都区安德街道彭温路399号</w:t>
      </w:r>
      <w:r>
        <w:rPr>
          <w:rFonts w:hint="eastAsia"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3"/>
        <w:snapToGrid w:val="0"/>
        <w:spacing w:line="380" w:lineRule="exact"/>
        <w:ind w:left="680" w:firstLine="439" w:firstLineChars="183"/>
        <w:rPr>
          <w:rFonts w:hAnsi="宋体" w:cs="宋体"/>
          <w:sz w:val="24"/>
          <w:szCs w:val="24"/>
        </w:rPr>
      </w:pPr>
      <w:r>
        <w:rPr>
          <w:rFonts w:hint="eastAsia" w:hAnsi="宋体" w:cs="宋体"/>
          <w:sz w:val="24"/>
          <w:szCs w:val="24"/>
        </w:rPr>
        <w:t>特别说明：因疫情期间，为保证安全，请前来投标的商家戴好口罩，准备健康二维码</w:t>
      </w:r>
      <w:r>
        <w:rPr>
          <w:rFonts w:hint="eastAsia" w:hAnsi="宋体" w:cs="宋体"/>
          <w:sz w:val="24"/>
          <w:szCs w:val="24"/>
          <w:lang w:eastAsia="zh-CN"/>
        </w:rPr>
        <w:t>、</w:t>
      </w:r>
      <w:r>
        <w:rPr>
          <w:rFonts w:hint="eastAsia" w:hAnsi="宋体" w:cs="宋体"/>
          <w:sz w:val="24"/>
          <w:szCs w:val="24"/>
          <w:lang w:val="en-US" w:eastAsia="zh-CN"/>
        </w:rPr>
        <w:t>48小时核酸检测阴性证明，</w:t>
      </w:r>
      <w:r>
        <w:rPr>
          <w:rFonts w:hint="eastAsia" w:hAnsi="宋体" w:cs="宋体"/>
          <w:sz w:val="24"/>
          <w:szCs w:val="24"/>
        </w:rPr>
        <w:t>服从学校</w:t>
      </w:r>
      <w:r>
        <w:rPr>
          <w:rFonts w:hint="eastAsia" w:hAnsi="宋体" w:cs="宋体"/>
          <w:sz w:val="24"/>
          <w:szCs w:val="24"/>
          <w:lang w:eastAsia="zh-CN"/>
        </w:rPr>
        <w:t>疫情防控</w:t>
      </w:r>
      <w:r>
        <w:rPr>
          <w:rFonts w:hint="eastAsia" w:hAnsi="宋体" w:cs="宋体"/>
          <w:sz w:val="24"/>
          <w:szCs w:val="24"/>
        </w:rPr>
        <w:t>管理，做好个人防护。</w:t>
      </w:r>
    </w:p>
    <w:p>
      <w:pPr>
        <w:pStyle w:val="3"/>
        <w:snapToGrid w:val="0"/>
        <w:spacing w:line="380" w:lineRule="exact"/>
        <w:ind w:left="418" w:leftChars="123"/>
        <w:rPr>
          <w:rFonts w:hAnsi="宋体" w:cs="宋体"/>
          <w:sz w:val="24"/>
          <w:szCs w:val="24"/>
        </w:rPr>
      </w:pPr>
      <w:r>
        <w:rPr>
          <w:rFonts w:hint="eastAsia" w:hAnsi="宋体" w:cs="宋体"/>
          <w:b/>
          <w:bCs/>
          <w:sz w:val="24"/>
          <w:szCs w:val="24"/>
        </w:rPr>
        <w:t>七、</w:t>
      </w:r>
      <w:r>
        <w:rPr>
          <w:rFonts w:hint="eastAsia" w:hAnsi="宋体" w:cs="宋体"/>
          <w:b/>
          <w:sz w:val="24"/>
          <w:szCs w:val="24"/>
        </w:rPr>
        <w:t>递交投标文件及开标地点</w:t>
      </w:r>
      <w:r>
        <w:rPr>
          <w:rFonts w:hint="eastAsia" w:hAnsi="宋体" w:cs="宋体"/>
          <w:sz w:val="24"/>
          <w:szCs w:val="24"/>
        </w:rPr>
        <w:t>：</w:t>
      </w:r>
      <w:r>
        <w:rPr>
          <w:rFonts w:hint="eastAsia" w:hAnsi="宋体" w:cs="宋体"/>
          <w:sz w:val="24"/>
          <w:lang w:eastAsia="zh-CN"/>
        </w:rPr>
        <w:t>四川省成都市郫都区安德街道彭温路399号</w:t>
      </w:r>
      <w:r>
        <w:rPr>
          <w:rFonts w:hint="eastAsia" w:hAnsi="宋体" w:cs="宋体"/>
          <w:sz w:val="24"/>
        </w:rPr>
        <w:t>后勤基建</w:t>
      </w:r>
      <w:r>
        <w:rPr>
          <w:rFonts w:hint="eastAsia" w:hAnsi="宋体" w:cs="宋体"/>
          <w:sz w:val="24"/>
          <w:lang w:eastAsia="zh-CN"/>
        </w:rPr>
        <w:t>办公区</w:t>
      </w:r>
      <w:r>
        <w:rPr>
          <w:rFonts w:hint="eastAsia" w:hAnsi="宋体" w:cs="宋体"/>
          <w:sz w:val="24"/>
        </w:rPr>
        <w:t>2F开标室</w:t>
      </w:r>
    </w:p>
    <w:p>
      <w:pPr>
        <w:pStyle w:val="3"/>
        <w:snapToGrid w:val="0"/>
        <w:spacing w:line="380" w:lineRule="exact"/>
        <w:ind w:left="418" w:leftChars="123"/>
        <w:rPr>
          <w:rFonts w:hAnsi="宋体" w:cs="宋体"/>
          <w:b/>
          <w:sz w:val="24"/>
          <w:szCs w:val="24"/>
        </w:rPr>
      </w:pPr>
      <w:r>
        <w:rPr>
          <w:rFonts w:hint="eastAsia" w:hAnsi="宋体" w:cs="宋体"/>
          <w:b/>
          <w:sz w:val="24"/>
          <w:szCs w:val="24"/>
        </w:rPr>
        <w:t>八、联系方式</w:t>
      </w:r>
    </w:p>
    <w:p>
      <w:pPr>
        <w:pStyle w:val="31"/>
        <w:snapToGrid w:val="0"/>
        <w:spacing w:line="380" w:lineRule="exact"/>
        <w:ind w:firstLine="950" w:firstLineChars="396"/>
        <w:rPr>
          <w:rFonts w:hAnsi="宋体" w:cs="宋体"/>
          <w:snapToGrid w:val="0"/>
          <w:sz w:val="24"/>
        </w:rPr>
      </w:pPr>
      <w:r>
        <w:rPr>
          <w:rFonts w:hint="eastAsia" w:hAnsi="宋体" w:cs="宋体"/>
          <w:snapToGrid w:val="0"/>
          <w:sz w:val="24"/>
        </w:rPr>
        <w:t>采</w:t>
      </w:r>
      <w:r>
        <w:rPr>
          <w:rFonts w:hint="eastAsia" w:hAnsi="宋体" w:cs="宋体"/>
          <w:snapToGrid w:val="0"/>
          <w:sz w:val="24"/>
          <w:lang w:val="en-US" w:eastAsia="zh-CN"/>
        </w:rPr>
        <w:t xml:space="preserve"> </w:t>
      </w:r>
      <w:r>
        <w:rPr>
          <w:rFonts w:hint="eastAsia" w:hAnsi="宋体" w:cs="宋体"/>
          <w:snapToGrid w:val="0"/>
          <w:sz w:val="24"/>
        </w:rPr>
        <w:t>购</w:t>
      </w:r>
      <w:r>
        <w:rPr>
          <w:rFonts w:hint="eastAsia" w:hAnsi="宋体" w:cs="宋体"/>
          <w:snapToGrid w:val="0"/>
          <w:sz w:val="24"/>
          <w:lang w:val="en-US" w:eastAsia="zh-CN"/>
        </w:rPr>
        <w:t xml:space="preserve"> </w:t>
      </w:r>
      <w:r>
        <w:rPr>
          <w:rFonts w:hint="eastAsia" w:hAnsi="宋体" w:cs="宋体"/>
          <w:snapToGrid w:val="0"/>
          <w:sz w:val="24"/>
        </w:rPr>
        <w:t>人：四川铁道职业学院</w:t>
      </w:r>
    </w:p>
    <w:p>
      <w:pPr>
        <w:pStyle w:val="31"/>
        <w:snapToGrid w:val="0"/>
        <w:spacing w:line="380" w:lineRule="exact"/>
        <w:ind w:firstLine="919" w:firstLineChars="383"/>
        <w:rPr>
          <w:rFonts w:hint="eastAsia" w:hAnsi="宋体" w:eastAsia="宋体" w:cs="宋体"/>
          <w:sz w:val="24"/>
          <w:lang w:eastAsia="zh-CN"/>
        </w:rPr>
      </w:pPr>
      <w:r>
        <w:rPr>
          <w:rFonts w:hint="eastAsia" w:hAnsi="宋体" w:cs="宋体"/>
          <w:bCs/>
          <w:sz w:val="24"/>
        </w:rPr>
        <w:t>地</w:t>
      </w:r>
      <w:r>
        <w:rPr>
          <w:rFonts w:hint="eastAsia" w:hAnsi="宋体" w:cs="宋体"/>
          <w:bCs/>
          <w:sz w:val="24"/>
          <w:lang w:val="en-US" w:eastAsia="zh-CN"/>
        </w:rPr>
        <w:t xml:space="preserve">    </w:t>
      </w:r>
      <w:r>
        <w:rPr>
          <w:rFonts w:hint="eastAsia" w:hAnsi="宋体" w:cs="宋体"/>
          <w:bCs/>
          <w:sz w:val="24"/>
        </w:rPr>
        <w:t>址：</w:t>
      </w:r>
      <w:r>
        <w:rPr>
          <w:rFonts w:hint="eastAsia" w:hAnsi="宋体" w:cs="宋体"/>
          <w:sz w:val="24"/>
          <w:lang w:eastAsia="zh-CN"/>
        </w:rPr>
        <w:t>四川省成都市郫都区安德街道彭温路399号</w:t>
      </w:r>
    </w:p>
    <w:p>
      <w:pPr>
        <w:pStyle w:val="31"/>
        <w:snapToGrid w:val="0"/>
        <w:spacing w:line="380" w:lineRule="exact"/>
        <w:ind w:firstLine="919" w:firstLineChars="383"/>
        <w:rPr>
          <w:rFonts w:hAnsi="宋体" w:cs="宋体"/>
          <w:sz w:val="24"/>
        </w:rPr>
      </w:pPr>
      <w:r>
        <w:rPr>
          <w:rFonts w:hint="eastAsia" w:hAnsi="宋体" w:cs="宋体"/>
          <w:sz w:val="24"/>
        </w:rPr>
        <w:t>联</w:t>
      </w:r>
      <w:r>
        <w:rPr>
          <w:rFonts w:hint="eastAsia" w:hAnsi="宋体" w:cs="宋体"/>
          <w:sz w:val="24"/>
          <w:lang w:val="en-US" w:eastAsia="zh-CN"/>
        </w:rPr>
        <w:t xml:space="preserve"> </w:t>
      </w:r>
      <w:r>
        <w:rPr>
          <w:rFonts w:hint="eastAsia" w:hAnsi="宋体" w:cs="宋体"/>
          <w:sz w:val="24"/>
        </w:rPr>
        <w:t>系</w:t>
      </w:r>
      <w:r>
        <w:rPr>
          <w:rFonts w:hint="eastAsia" w:hAnsi="宋体" w:cs="宋体"/>
          <w:sz w:val="24"/>
          <w:lang w:val="en-US" w:eastAsia="zh-CN"/>
        </w:rPr>
        <w:t xml:space="preserve"> </w:t>
      </w:r>
      <w:r>
        <w:rPr>
          <w:rFonts w:hint="eastAsia" w:hAnsi="宋体" w:cs="宋体"/>
          <w:sz w:val="24"/>
        </w:rPr>
        <w:t>人：贺老师、程老师</w:t>
      </w:r>
    </w:p>
    <w:p>
      <w:pPr>
        <w:pStyle w:val="31"/>
        <w:snapToGrid w:val="0"/>
        <w:spacing w:line="380" w:lineRule="exact"/>
        <w:ind w:firstLine="919" w:firstLineChars="383"/>
        <w:rPr>
          <w:rFonts w:hAnsi="宋体" w:cs="宋体"/>
          <w:sz w:val="24"/>
        </w:rPr>
      </w:pPr>
      <w:r>
        <w:rPr>
          <w:rFonts w:hint="eastAsia" w:hAnsi="宋体" w:cs="宋体"/>
          <w:sz w:val="24"/>
        </w:rPr>
        <w:t>联系电话：028-6893</w:t>
      </w:r>
      <w:r>
        <w:rPr>
          <w:rFonts w:hint="eastAsia" w:hAnsi="宋体" w:cs="宋体"/>
          <w:sz w:val="24"/>
          <w:lang w:val="en-US" w:eastAsia="zh-CN"/>
        </w:rPr>
        <w:t>9875</w:t>
      </w:r>
      <w:r>
        <w:rPr>
          <w:rFonts w:hint="eastAsia" w:hAnsi="宋体" w:cs="宋体"/>
          <w:sz w:val="24"/>
        </w:rPr>
        <w:t>、68939882</w:t>
      </w:r>
    </w:p>
    <w:p>
      <w:pPr>
        <w:pStyle w:val="4"/>
        <w:snapToGrid w:val="0"/>
        <w:spacing w:before="0" w:after="0" w:line="360" w:lineRule="auto"/>
        <w:jc w:val="center"/>
        <w:rPr>
          <w:rFonts w:hAnsi="宋体" w:cs="宋体"/>
          <w:sz w:val="30"/>
          <w:szCs w:val="30"/>
        </w:rPr>
      </w:pPr>
      <w:bookmarkStart w:id="6" w:name="_Toc16541"/>
      <w:bookmarkStart w:id="7" w:name="_Toc217446031"/>
      <w:bookmarkStart w:id="8" w:name="_Toc213496267"/>
      <w:bookmarkStart w:id="9" w:name="_Toc213397009"/>
      <w:bookmarkStart w:id="10" w:name="_Toc213396759"/>
      <w:bookmarkStart w:id="11" w:name="_Toc213396945"/>
      <w:bookmarkStart w:id="12" w:name="_Toc116221027"/>
      <w:r>
        <w:rPr>
          <w:rFonts w:hint="eastAsia" w:hAnsi="宋体" w:cs="宋体"/>
          <w:sz w:val="30"/>
          <w:szCs w:val="30"/>
        </w:rPr>
        <w:t>第二章  投标人须知</w:t>
      </w:r>
      <w:bookmarkEnd w:id="6"/>
      <w:bookmarkEnd w:id="7"/>
      <w:bookmarkEnd w:id="8"/>
      <w:bookmarkEnd w:id="9"/>
      <w:bookmarkEnd w:id="10"/>
      <w:bookmarkEnd w:id="11"/>
      <w:bookmarkEnd w:id="12"/>
    </w:p>
    <w:p>
      <w:pPr>
        <w:pStyle w:val="5"/>
        <w:snapToGrid w:val="0"/>
        <w:spacing w:before="0" w:after="0" w:line="360" w:lineRule="auto"/>
        <w:jc w:val="center"/>
        <w:rPr>
          <w:rFonts w:ascii="宋体" w:hAnsi="宋体" w:eastAsia="宋体" w:cs="宋体"/>
          <w:sz w:val="30"/>
          <w:szCs w:val="30"/>
        </w:rPr>
      </w:pPr>
      <w:bookmarkStart w:id="13" w:name="_Toc217446032"/>
      <w:bookmarkStart w:id="14" w:name="_Toc29105"/>
      <w:bookmarkStart w:id="15" w:name="_Toc189727030"/>
      <w:bookmarkStart w:id="16" w:name="_Toc213396946"/>
      <w:bookmarkStart w:id="17" w:name="_Toc213396760"/>
      <w:bookmarkStart w:id="18" w:name="_Toc213496268"/>
      <w:bookmarkStart w:id="19" w:name="_Toc213397010"/>
      <w:r>
        <w:rPr>
          <w:rFonts w:hint="eastAsia" w:ascii="宋体" w:hAnsi="宋体" w:eastAsia="宋体" w:cs="宋体"/>
          <w:sz w:val="30"/>
          <w:szCs w:val="30"/>
        </w:rPr>
        <w:t>一、投标人须知附表</w:t>
      </w:r>
      <w:bookmarkEnd w:id="13"/>
      <w:bookmarkEnd w:id="14"/>
      <w:bookmarkEnd w:id="15"/>
      <w:bookmarkEnd w:id="16"/>
      <w:bookmarkEnd w:id="17"/>
      <w:bookmarkEnd w:id="18"/>
      <w:bookmarkEnd w:id="19"/>
    </w:p>
    <w:tbl>
      <w:tblPr>
        <w:tblStyle w:val="16"/>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32"/>
              <w:snapToGrid w:val="0"/>
              <w:spacing w:line="360" w:lineRule="auto"/>
              <w:jc w:val="center"/>
              <w:rPr>
                <w:lang w:val="zh-CN"/>
              </w:rPr>
            </w:pPr>
            <w:r>
              <w:rPr>
                <w:rFonts w:hint="eastAsia"/>
                <w:lang w:val="zh-CN"/>
              </w:rPr>
              <w:t xml:space="preserve">序号 </w:t>
            </w:r>
          </w:p>
        </w:tc>
        <w:tc>
          <w:tcPr>
            <w:tcW w:w="1916" w:type="dxa"/>
            <w:vAlign w:val="center"/>
          </w:tcPr>
          <w:p>
            <w:pPr>
              <w:pStyle w:val="32"/>
              <w:snapToGrid w:val="0"/>
              <w:spacing w:line="360" w:lineRule="auto"/>
              <w:jc w:val="center"/>
              <w:rPr>
                <w:lang w:val="zh-CN"/>
              </w:rPr>
            </w:pPr>
            <w:r>
              <w:rPr>
                <w:rFonts w:hint="eastAsia"/>
                <w:lang w:val="zh-CN"/>
              </w:rPr>
              <w:t xml:space="preserve">应知事项 </w:t>
            </w:r>
          </w:p>
        </w:tc>
        <w:tc>
          <w:tcPr>
            <w:tcW w:w="6819" w:type="dxa"/>
            <w:vAlign w:val="center"/>
          </w:tcPr>
          <w:p>
            <w:pPr>
              <w:pStyle w:val="32"/>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32"/>
              <w:snapToGrid w:val="0"/>
              <w:spacing w:line="360" w:lineRule="auto"/>
              <w:jc w:val="center"/>
            </w:pPr>
            <w:r>
              <w:rPr>
                <w:rFonts w:hint="eastAsia"/>
              </w:rPr>
              <w:t>1</w:t>
            </w:r>
          </w:p>
        </w:tc>
        <w:tc>
          <w:tcPr>
            <w:tcW w:w="1916" w:type="dxa"/>
            <w:vAlign w:val="center"/>
          </w:tcPr>
          <w:p>
            <w:pPr>
              <w:pStyle w:val="32"/>
              <w:snapToGrid w:val="0"/>
              <w:spacing w:line="360" w:lineRule="auto"/>
              <w:jc w:val="center"/>
              <w:rPr>
                <w:lang w:val="zh-CN"/>
              </w:rPr>
            </w:pPr>
            <w:r>
              <w:rPr>
                <w:rFonts w:hint="eastAsia"/>
                <w:lang w:val="zh-CN"/>
              </w:rPr>
              <w:t>采购人</w:t>
            </w:r>
          </w:p>
        </w:tc>
        <w:tc>
          <w:tcPr>
            <w:tcW w:w="6819" w:type="dxa"/>
            <w:vAlign w:val="center"/>
          </w:tcPr>
          <w:p>
            <w:pPr>
              <w:pStyle w:val="31"/>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32"/>
              <w:snapToGrid w:val="0"/>
              <w:spacing w:line="360" w:lineRule="auto"/>
              <w:ind w:firstLine="240" w:firstLineChars="100"/>
              <w:rPr>
                <w:rFonts w:hint="eastAsia" w:eastAsia="宋体"/>
                <w:lang w:val="zh-CN" w:eastAsia="zh-CN"/>
              </w:rPr>
            </w:pPr>
            <w:r>
              <w:rPr>
                <w:rFonts w:hint="eastAsia"/>
                <w:lang w:val="zh-CN"/>
              </w:rPr>
              <w:t>地址：</w:t>
            </w:r>
            <w:r>
              <w:rPr>
                <w:rFonts w:hint="eastAsia"/>
                <w:lang w:eastAsia="zh-CN"/>
              </w:rPr>
              <w:t>四川省成都市郫都区安德街道彭温路399号</w:t>
            </w:r>
          </w:p>
          <w:p>
            <w:pPr>
              <w:pStyle w:val="32"/>
              <w:snapToGrid w:val="0"/>
              <w:spacing w:line="360" w:lineRule="auto"/>
              <w:ind w:firstLine="240" w:firstLineChars="100"/>
            </w:pPr>
            <w:r>
              <w:rPr>
                <w:rFonts w:hint="eastAsia"/>
                <w:lang w:val="zh-CN"/>
              </w:rPr>
              <w:t>联 系 人：</w:t>
            </w:r>
            <w:r>
              <w:rPr>
                <w:rFonts w:hint="eastAsia"/>
              </w:rPr>
              <w:t>贺老师、程老师</w:t>
            </w:r>
          </w:p>
          <w:p>
            <w:pPr>
              <w:pStyle w:val="32"/>
              <w:snapToGrid w:val="0"/>
              <w:spacing w:line="360" w:lineRule="auto"/>
              <w:ind w:firstLine="240" w:firstLineChars="100"/>
            </w:pPr>
            <w:r>
              <w:rPr>
                <w:rFonts w:hint="eastAsia"/>
                <w:lang w:val="zh-CN"/>
              </w:rPr>
              <w:t>联系电话：</w:t>
            </w:r>
            <w:r>
              <w:rPr>
                <w:rFonts w:hint="eastAsia"/>
              </w:rPr>
              <w:t>028-68939969、 68939882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32"/>
              <w:snapToGrid w:val="0"/>
              <w:spacing w:line="360" w:lineRule="auto"/>
              <w:jc w:val="center"/>
            </w:pPr>
            <w:r>
              <w:rPr>
                <w:rFonts w:hint="eastAsia"/>
              </w:rPr>
              <w:t>2</w:t>
            </w:r>
          </w:p>
        </w:tc>
        <w:tc>
          <w:tcPr>
            <w:tcW w:w="1916" w:type="dxa"/>
            <w:vAlign w:val="center"/>
          </w:tcPr>
          <w:p>
            <w:pPr>
              <w:pStyle w:val="32"/>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32"/>
              <w:snapToGrid w:val="0"/>
              <w:spacing w:line="360" w:lineRule="auto"/>
            </w:pPr>
            <w:r>
              <w:rPr>
                <w:rFonts w:hint="eastAsia"/>
              </w:rPr>
              <w:t>四川铁道职业学院2022届毕业生就业质量报告撰写</w:t>
            </w:r>
            <w:r>
              <w:rPr>
                <w:rFonts w:hint="eastAsia"/>
                <w:lang w:eastAsia="zh-CN"/>
              </w:rPr>
              <w:t>与</w:t>
            </w:r>
            <w:r>
              <w:rPr>
                <w:rFonts w:hint="eastAsia"/>
              </w:rPr>
              <w:t>印刷项目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32"/>
              <w:snapToGrid w:val="0"/>
              <w:spacing w:line="360" w:lineRule="auto"/>
              <w:jc w:val="center"/>
            </w:pPr>
            <w:r>
              <w:rPr>
                <w:rFonts w:hint="eastAsia"/>
              </w:rPr>
              <w:t>3</w:t>
            </w:r>
          </w:p>
        </w:tc>
        <w:tc>
          <w:tcPr>
            <w:tcW w:w="1916" w:type="dxa"/>
            <w:vAlign w:val="center"/>
          </w:tcPr>
          <w:p>
            <w:pPr>
              <w:pStyle w:val="32"/>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32"/>
              <w:snapToGrid w:val="0"/>
              <w:spacing w:line="360" w:lineRule="auto"/>
              <w:rPr>
                <w:rFonts w:hint="default" w:eastAsia="宋体"/>
                <w:lang w:val="en-US" w:eastAsia="zh-CN"/>
              </w:rPr>
            </w:pPr>
            <w:r>
              <w:rPr>
                <w:rFonts w:hint="eastAsia"/>
                <w:lang w:val="en-US" w:eastAsia="zh-CN"/>
              </w:rPr>
              <w:t>TZY-ZB-2022027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32"/>
              <w:snapToGrid w:val="0"/>
              <w:spacing w:line="360" w:lineRule="auto"/>
              <w:jc w:val="center"/>
            </w:pPr>
            <w:r>
              <w:rPr>
                <w:rFonts w:hint="eastAsia"/>
              </w:rPr>
              <w:t>4</w:t>
            </w:r>
          </w:p>
        </w:tc>
        <w:tc>
          <w:tcPr>
            <w:tcW w:w="1916" w:type="dxa"/>
            <w:vAlign w:val="center"/>
          </w:tcPr>
          <w:p>
            <w:pPr>
              <w:pStyle w:val="32"/>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32"/>
              <w:snapToGrid w:val="0"/>
              <w:spacing w:line="360" w:lineRule="auto"/>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32"/>
              <w:snapToGrid w:val="0"/>
              <w:spacing w:line="360" w:lineRule="auto"/>
              <w:jc w:val="center"/>
              <w:rPr>
                <w:lang w:val="zh-CN"/>
              </w:rPr>
            </w:pPr>
            <w:r>
              <w:rPr>
                <w:rFonts w:hint="eastAsia"/>
              </w:rPr>
              <w:t>5</w:t>
            </w:r>
          </w:p>
        </w:tc>
        <w:tc>
          <w:tcPr>
            <w:tcW w:w="1916" w:type="dxa"/>
            <w:vAlign w:val="center"/>
          </w:tcPr>
          <w:p>
            <w:pPr>
              <w:pStyle w:val="32"/>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32"/>
              <w:snapToGrid w:val="0"/>
              <w:spacing w:line="360" w:lineRule="auto"/>
            </w:pPr>
            <w:r>
              <w:rPr>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万</w:t>
            </w:r>
            <w:r>
              <w:rPr>
                <w:rFonts w:hint="eastAsia"/>
                <w:color w:val="000000" w:themeColor="text1"/>
                <w14:textFill>
                  <w14:solidFill>
                    <w14:schemeClr w14:val="tx1"/>
                  </w14:solidFill>
                </w14:textFill>
              </w:rPr>
              <w:t>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32"/>
              <w:snapToGrid w:val="0"/>
              <w:spacing w:line="360" w:lineRule="auto"/>
              <w:jc w:val="center"/>
            </w:pPr>
            <w:r>
              <w:rPr>
                <w:rFonts w:hint="eastAsia"/>
              </w:rPr>
              <w:t>6</w:t>
            </w:r>
          </w:p>
        </w:tc>
        <w:tc>
          <w:tcPr>
            <w:tcW w:w="1916" w:type="dxa"/>
            <w:vAlign w:val="center"/>
          </w:tcPr>
          <w:p>
            <w:pPr>
              <w:pStyle w:val="32"/>
              <w:snapToGrid w:val="0"/>
              <w:spacing w:line="360" w:lineRule="auto"/>
              <w:jc w:val="center"/>
              <w:rPr>
                <w:lang w:val="zh-CN"/>
              </w:rPr>
            </w:pPr>
            <w:r>
              <w:rPr>
                <w:rFonts w:hint="eastAsia"/>
                <w:lang w:val="zh-CN"/>
              </w:rPr>
              <w:t>构成招标文件的其他文件</w:t>
            </w:r>
          </w:p>
        </w:tc>
        <w:tc>
          <w:tcPr>
            <w:tcW w:w="6819" w:type="dxa"/>
            <w:vAlign w:val="center"/>
          </w:tcPr>
          <w:p>
            <w:pPr>
              <w:pStyle w:val="32"/>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32"/>
              <w:snapToGrid w:val="0"/>
              <w:spacing w:line="360" w:lineRule="auto"/>
              <w:jc w:val="center"/>
              <w:rPr>
                <w:lang w:val="zh-CN"/>
              </w:rPr>
            </w:pPr>
            <w:r>
              <w:rPr>
                <w:rFonts w:hint="eastAsia"/>
              </w:rPr>
              <w:t>7</w:t>
            </w:r>
          </w:p>
        </w:tc>
        <w:tc>
          <w:tcPr>
            <w:tcW w:w="1916" w:type="dxa"/>
            <w:vAlign w:val="center"/>
          </w:tcPr>
          <w:p>
            <w:pPr>
              <w:pStyle w:val="32"/>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32"/>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32"/>
              <w:snapToGrid w:val="0"/>
              <w:spacing w:line="360" w:lineRule="auto"/>
              <w:jc w:val="center"/>
              <w:rPr>
                <w:lang w:val="zh-CN"/>
              </w:rPr>
            </w:pPr>
            <w:r>
              <w:rPr>
                <w:rFonts w:hint="eastAsia"/>
              </w:rPr>
              <w:t>8</w:t>
            </w:r>
          </w:p>
        </w:tc>
        <w:tc>
          <w:tcPr>
            <w:tcW w:w="1916" w:type="dxa"/>
            <w:vAlign w:val="center"/>
          </w:tcPr>
          <w:p>
            <w:pPr>
              <w:pStyle w:val="32"/>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32"/>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32"/>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32"/>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32"/>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32"/>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32"/>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32"/>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32"/>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32"/>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32"/>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32"/>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32"/>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32"/>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32"/>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32"/>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32"/>
              <w:snapToGrid w:val="0"/>
              <w:spacing w:line="360" w:lineRule="auto"/>
              <w:rPr>
                <w:lang w:val="zh-CN"/>
              </w:rPr>
            </w:pPr>
            <w:r>
              <w:rPr>
                <w:rFonts w:hint="eastAsia"/>
                <w:lang w:val="zh-CN"/>
              </w:rPr>
              <w:t>a.时间和地点详见 “投标邀请”;</w:t>
            </w:r>
          </w:p>
          <w:p>
            <w:pPr>
              <w:pStyle w:val="32"/>
              <w:snapToGrid w:val="0"/>
              <w:spacing w:line="360" w:lineRule="auto"/>
              <w:rPr>
                <w:lang w:val="zh-CN"/>
              </w:rPr>
            </w:pPr>
            <w:r>
              <w:rPr>
                <w:rFonts w:hint="eastAsia"/>
                <w:lang w:val="zh-CN"/>
              </w:rPr>
              <w:t>b.采购人在招标文件规定的时间和地点组织开标，投标人代表人执有效身份证参加。</w:t>
            </w:r>
          </w:p>
          <w:p>
            <w:pPr>
              <w:pStyle w:val="32"/>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32"/>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32"/>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32"/>
              <w:snapToGrid w:val="0"/>
              <w:spacing w:line="360" w:lineRule="auto"/>
              <w:ind w:firstLine="240" w:firstLineChars="100"/>
              <w:rPr>
                <w:lang w:val="zh-CN"/>
              </w:rPr>
            </w:pPr>
            <w:r>
              <w:rPr>
                <w:rFonts w:hint="eastAsia"/>
                <w:lang w:val="zh-CN"/>
              </w:rPr>
              <w:t>时间：</w:t>
            </w:r>
            <w:r>
              <w:rPr>
                <w:rFonts w:hint="eastAsia"/>
                <w:lang w:val="en-US" w:eastAsia="zh-CN"/>
              </w:rPr>
              <w:t>2022年10月24日14:30</w:t>
            </w:r>
            <w:r>
              <w:rPr>
                <w:rFonts w:hint="eastAsia"/>
                <w:lang w:val="zh-CN"/>
              </w:rPr>
              <w:t>（北京时间）</w:t>
            </w:r>
          </w:p>
          <w:p>
            <w:pPr>
              <w:pStyle w:val="32"/>
              <w:snapToGrid w:val="0"/>
              <w:spacing w:line="360" w:lineRule="auto"/>
              <w:ind w:firstLine="240" w:firstLineChars="100"/>
            </w:pPr>
            <w:r>
              <w:rPr>
                <w:rFonts w:hint="eastAsia"/>
                <w:lang w:val="zh-CN"/>
              </w:rPr>
              <w:t>地点：</w:t>
            </w:r>
            <w:r>
              <w:rPr>
                <w:rFonts w:hint="eastAsia"/>
                <w:lang w:eastAsia="zh-CN"/>
              </w:rPr>
              <w:t>四川省成都市郫都区安德街道彭温路399号</w:t>
            </w:r>
            <w:r>
              <w:rPr>
                <w:rFonts w:hint="eastAsia"/>
              </w:rPr>
              <w:t>后勤基建</w:t>
            </w:r>
            <w:r>
              <w:rPr>
                <w:rFonts w:hint="eastAsia"/>
                <w:lang w:eastAsia="zh-CN"/>
              </w:rPr>
              <w:t>办公区</w:t>
            </w:r>
            <w:r>
              <w:rPr>
                <w:rFonts w:hint="eastAsia"/>
              </w:rPr>
              <w:t>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20" w:name="_Toc77400779"/>
      <w:bookmarkStart w:id="21" w:name="_Toc89075875"/>
      <w:bookmarkStart w:id="22" w:name="_Toc183682346"/>
      <w:bookmarkStart w:id="23" w:name="_Toc4844"/>
      <w:bookmarkStart w:id="24" w:name="_Toc217446038"/>
      <w:bookmarkStart w:id="25" w:name="_Toc183582209"/>
      <w:r>
        <w:rPr>
          <w:rFonts w:hint="eastAsia" w:ascii="宋体" w:hAnsi="宋体" w:eastAsia="宋体" w:cs="宋体"/>
          <w:sz w:val="30"/>
          <w:szCs w:val="30"/>
        </w:rPr>
        <w:t>二、招标文件</w:t>
      </w:r>
      <w:bookmarkEnd w:id="20"/>
      <w:bookmarkEnd w:id="21"/>
      <w:bookmarkEnd w:id="22"/>
      <w:bookmarkEnd w:id="23"/>
      <w:bookmarkEnd w:id="24"/>
      <w:bookmarkEnd w:id="25"/>
    </w:p>
    <w:p>
      <w:pPr>
        <w:pStyle w:val="6"/>
        <w:snapToGrid w:val="0"/>
        <w:spacing w:before="0" w:after="0" w:line="360" w:lineRule="auto"/>
        <w:ind w:firstLine="161" w:firstLineChars="67"/>
        <w:rPr>
          <w:rFonts w:hAnsi="宋体" w:cs="宋体"/>
          <w:sz w:val="24"/>
          <w:szCs w:val="24"/>
        </w:rPr>
      </w:pPr>
      <w:bookmarkStart w:id="26" w:name="_Toc183682347"/>
      <w:bookmarkStart w:id="27" w:name="_Toc183582210"/>
      <w:bookmarkStart w:id="28" w:name="_Toc217446039"/>
      <w:bookmarkStart w:id="29" w:name="_Toc11721"/>
      <w:r>
        <w:rPr>
          <w:rFonts w:hint="eastAsia" w:hAnsi="宋体" w:cs="宋体"/>
          <w:sz w:val="24"/>
          <w:szCs w:val="24"/>
        </w:rPr>
        <w:t>1．招标文件的构成</w:t>
      </w:r>
      <w:bookmarkEnd w:id="26"/>
      <w:bookmarkEnd w:id="27"/>
      <w:bookmarkEnd w:id="28"/>
      <w:bookmarkEnd w:id="29"/>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（四）招标项目服务内容及商务要求；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30" w:name="_Toc183682348"/>
      <w:bookmarkStart w:id="31" w:name="_Toc183582211"/>
      <w:bookmarkStart w:id="32" w:name="_Toc217446040"/>
      <w:bookmarkStart w:id="33" w:name="_Toc19898"/>
      <w:r>
        <w:rPr>
          <w:rFonts w:hint="eastAsia" w:hAnsi="宋体" w:cs="宋体"/>
          <w:sz w:val="24"/>
          <w:szCs w:val="24"/>
        </w:rPr>
        <w:t>2. 招标文件的澄清</w:t>
      </w:r>
      <w:bookmarkEnd w:id="30"/>
      <w:bookmarkEnd w:id="31"/>
      <w:r>
        <w:rPr>
          <w:rFonts w:hint="eastAsia" w:hAnsi="宋体" w:cs="宋体"/>
          <w:sz w:val="24"/>
          <w:szCs w:val="24"/>
        </w:rPr>
        <w:t>和修改</w:t>
      </w:r>
      <w:bookmarkEnd w:id="32"/>
      <w:bookmarkEnd w:id="33"/>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34" w:name="_Toc183582214"/>
      <w:bookmarkStart w:id="35" w:name="_Toc89075876"/>
      <w:bookmarkStart w:id="36" w:name="_Toc217446042"/>
      <w:bookmarkStart w:id="37" w:name="_Toc183682351"/>
      <w:bookmarkStart w:id="38" w:name="_Toc6078"/>
      <w:bookmarkStart w:id="39" w:name="_Toc77400780"/>
      <w:r>
        <w:rPr>
          <w:rFonts w:hint="eastAsia" w:ascii="宋体" w:hAnsi="宋体" w:eastAsia="宋体" w:cs="宋体"/>
          <w:sz w:val="30"/>
          <w:szCs w:val="30"/>
        </w:rPr>
        <w:t>三、投标文件</w:t>
      </w:r>
      <w:bookmarkEnd w:id="34"/>
      <w:bookmarkEnd w:id="35"/>
      <w:bookmarkEnd w:id="36"/>
      <w:bookmarkEnd w:id="37"/>
      <w:bookmarkEnd w:id="38"/>
      <w:bookmarkEnd w:id="39"/>
    </w:p>
    <w:p>
      <w:pPr>
        <w:pStyle w:val="6"/>
        <w:snapToGrid w:val="0"/>
        <w:spacing w:before="0" w:after="0" w:line="360" w:lineRule="auto"/>
        <w:ind w:firstLine="161" w:firstLineChars="67"/>
        <w:rPr>
          <w:rFonts w:hAnsi="宋体" w:cs="宋体"/>
          <w:sz w:val="24"/>
          <w:szCs w:val="24"/>
        </w:rPr>
      </w:pPr>
      <w:bookmarkStart w:id="40" w:name="_Toc183682352"/>
      <w:bookmarkStart w:id="41" w:name="_Toc217446043"/>
      <w:bookmarkStart w:id="42" w:name="_Toc183582215"/>
      <w:bookmarkStart w:id="43" w:name="_Toc2524"/>
      <w:r>
        <w:rPr>
          <w:rFonts w:hint="eastAsia" w:hAnsi="宋体" w:cs="宋体"/>
          <w:sz w:val="24"/>
          <w:szCs w:val="24"/>
        </w:rPr>
        <w:t>3．投标文件的语言</w:t>
      </w:r>
      <w:bookmarkEnd w:id="40"/>
      <w:bookmarkEnd w:id="41"/>
      <w:bookmarkEnd w:id="42"/>
      <w:bookmarkEnd w:id="43"/>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44" w:name="_Toc217446045"/>
      <w:bookmarkStart w:id="45" w:name="_Toc6646"/>
      <w:r>
        <w:rPr>
          <w:rFonts w:hint="eastAsia" w:hAnsi="宋体" w:cs="宋体"/>
          <w:sz w:val="24"/>
          <w:szCs w:val="24"/>
        </w:rPr>
        <w:t>4. 投标货币</w:t>
      </w:r>
      <w:bookmarkEnd w:id="44"/>
      <w:bookmarkEnd w:id="45"/>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46" w:name="_Toc217446047"/>
      <w:bookmarkStart w:id="47" w:name="_Toc29047"/>
      <w:r>
        <w:rPr>
          <w:rFonts w:hint="eastAsia" w:hAnsi="宋体" w:cs="宋体"/>
          <w:sz w:val="24"/>
          <w:szCs w:val="24"/>
        </w:rPr>
        <w:t>5. 知识产权</w:t>
      </w:r>
      <w:bookmarkEnd w:id="46"/>
      <w:bookmarkEnd w:id="47"/>
    </w:p>
    <w:p>
      <w:pPr>
        <w:snapToGrid w:val="0"/>
        <w:spacing w:line="360" w:lineRule="auto"/>
        <w:ind w:firstLine="480" w:firstLineChars="200"/>
        <w:rPr>
          <w:rFonts w:hAnsi="宋体" w:cs="宋体"/>
          <w:sz w:val="24"/>
          <w:szCs w:val="24"/>
        </w:rPr>
      </w:pPr>
      <w:r>
        <w:rPr>
          <w:rFonts w:hint="eastAsia" w:hAnsi="宋体" w:cs="宋体"/>
          <w:sz w:val="24"/>
          <w:szCs w:val="24"/>
        </w:rPr>
        <w:t>5.1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snapToGrid w:val="0"/>
        <w:spacing w:line="360" w:lineRule="auto"/>
        <w:ind w:firstLine="480" w:firstLineChars="200"/>
        <w:rPr>
          <w:rFonts w:hAnsi="宋体" w:cs="宋体"/>
          <w:sz w:val="24"/>
          <w:szCs w:val="24"/>
        </w:rPr>
      </w:pPr>
      <w:r>
        <w:rPr>
          <w:rFonts w:hint="eastAsia" w:hAnsi="宋体" w:cs="宋体"/>
          <w:sz w:val="24"/>
          <w:szCs w:val="24"/>
        </w:rPr>
        <w:t>5.2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48" w:name="_Toc183582217"/>
      <w:bookmarkStart w:id="49" w:name="_Toc183682354"/>
      <w:bookmarkStart w:id="50" w:name="_Toc217446048"/>
      <w:bookmarkStart w:id="51" w:name="_Toc25074"/>
      <w:bookmarkStart w:id="52" w:name="_Toc217446093"/>
      <w:r>
        <w:rPr>
          <w:rFonts w:hint="eastAsia" w:hAnsi="宋体" w:cs="宋体"/>
          <w:sz w:val="24"/>
          <w:szCs w:val="24"/>
        </w:rPr>
        <w:t>6．投标文件的组成</w:t>
      </w:r>
      <w:bookmarkEnd w:id="48"/>
      <w:bookmarkEnd w:id="49"/>
      <w:bookmarkEnd w:id="50"/>
      <w:bookmarkStart w:id="53" w:name="_Toc217446049"/>
      <w:bookmarkStart w:id="54" w:name="_Toc183682355"/>
      <w:bookmarkStart w:id="55" w:name="_Toc183582218"/>
      <w:r>
        <w:rPr>
          <w:rFonts w:hint="eastAsia" w:hAnsi="宋体" w:cs="宋体"/>
          <w:sz w:val="24"/>
          <w:szCs w:val="24"/>
        </w:rPr>
        <w:t>。</w:t>
      </w:r>
      <w:bookmarkEnd w:id="51"/>
    </w:p>
    <w:p>
      <w:pPr>
        <w:pStyle w:val="6"/>
        <w:snapToGrid w:val="0"/>
        <w:spacing w:before="0" w:after="0" w:line="360" w:lineRule="auto"/>
        <w:ind w:firstLine="640" w:firstLineChars="267"/>
        <w:rPr>
          <w:rFonts w:hAnsi="宋体" w:cs="宋体"/>
          <w:sz w:val="24"/>
          <w:szCs w:val="24"/>
        </w:rPr>
      </w:pPr>
      <w:bookmarkStart w:id="56" w:name="_Toc16442"/>
      <w:r>
        <w:rPr>
          <w:rFonts w:hint="eastAsia" w:hAnsi="宋体" w:cs="宋体"/>
          <w:b w:val="0"/>
          <w:kern w:val="2"/>
          <w:sz w:val="24"/>
          <w:szCs w:val="24"/>
        </w:rPr>
        <w:t>投标文件包括：</w:t>
      </w:r>
      <w:bookmarkEnd w:id="56"/>
    </w:p>
    <w:p>
      <w:pPr>
        <w:pStyle w:val="3"/>
        <w:snapToGrid w:val="0"/>
        <w:spacing w:line="360" w:lineRule="auto"/>
        <w:ind w:left="680" w:firstLine="484" w:firstLineChars="202"/>
        <w:rPr>
          <w:rFonts w:hAnsi="宋体" w:cs="宋体"/>
          <w:sz w:val="24"/>
          <w:szCs w:val="24"/>
        </w:rPr>
      </w:pPr>
      <w:r>
        <w:rPr>
          <w:rFonts w:hint="eastAsia" w:hAnsi="宋体" w:cs="宋体"/>
          <w:sz w:val="24"/>
          <w:szCs w:val="24"/>
        </w:rPr>
        <w:t>（1）投标报价表</w:t>
      </w:r>
    </w:p>
    <w:p>
      <w:pPr>
        <w:pStyle w:val="3"/>
        <w:snapToGrid w:val="0"/>
        <w:spacing w:line="360" w:lineRule="auto"/>
        <w:ind w:left="680" w:firstLine="484" w:firstLineChars="202"/>
        <w:rPr>
          <w:rFonts w:hAnsi="宋体" w:cs="宋体"/>
          <w:sz w:val="24"/>
          <w:szCs w:val="24"/>
        </w:rPr>
      </w:pPr>
      <w:r>
        <w:rPr>
          <w:rFonts w:hint="eastAsia" w:hAnsi="宋体" w:cs="宋体"/>
          <w:sz w:val="24"/>
          <w:szCs w:val="24"/>
        </w:rPr>
        <w:t>（2）分项报价明细表</w:t>
      </w:r>
    </w:p>
    <w:p>
      <w:pPr>
        <w:pStyle w:val="3"/>
        <w:snapToGrid w:val="0"/>
        <w:spacing w:line="360" w:lineRule="auto"/>
        <w:ind w:left="680" w:firstLine="484" w:firstLineChars="202"/>
        <w:rPr>
          <w:rFonts w:hAnsi="宋体" w:cs="宋体"/>
          <w:sz w:val="24"/>
          <w:szCs w:val="24"/>
        </w:rPr>
      </w:pPr>
      <w:r>
        <w:rPr>
          <w:rFonts w:hint="eastAsia" w:hAnsi="宋体" w:cs="宋体"/>
          <w:sz w:val="24"/>
          <w:szCs w:val="24"/>
        </w:rPr>
        <w:t>（3）投标函</w:t>
      </w:r>
    </w:p>
    <w:p>
      <w:pPr>
        <w:pStyle w:val="3"/>
        <w:snapToGrid w:val="0"/>
        <w:spacing w:line="360" w:lineRule="auto"/>
        <w:ind w:left="680" w:firstLine="484" w:firstLineChars="202"/>
        <w:rPr>
          <w:rFonts w:hAnsi="宋体" w:cs="宋体"/>
          <w:sz w:val="24"/>
          <w:szCs w:val="24"/>
        </w:rPr>
      </w:pPr>
      <w:r>
        <w:rPr>
          <w:rFonts w:hint="eastAsia" w:hAnsi="宋体" w:cs="宋体"/>
          <w:sz w:val="24"/>
          <w:szCs w:val="24"/>
        </w:rPr>
        <w:t>（4）法定代表人授权书</w:t>
      </w:r>
    </w:p>
    <w:p>
      <w:pPr>
        <w:pStyle w:val="3"/>
        <w:snapToGrid w:val="0"/>
        <w:spacing w:line="360" w:lineRule="auto"/>
        <w:ind w:left="680" w:firstLine="484" w:firstLineChars="202"/>
        <w:rPr>
          <w:rFonts w:hAnsi="宋体" w:cs="宋体"/>
          <w:sz w:val="24"/>
          <w:szCs w:val="24"/>
        </w:rPr>
      </w:pPr>
      <w:r>
        <w:rPr>
          <w:rFonts w:hint="eastAsia" w:hAnsi="宋体" w:cs="宋体"/>
          <w:sz w:val="24"/>
          <w:szCs w:val="24"/>
        </w:rPr>
        <w:t>（5）投标人近三年类似项目业绩一览表</w:t>
      </w:r>
    </w:p>
    <w:p>
      <w:pPr>
        <w:pStyle w:val="3"/>
        <w:snapToGrid w:val="0"/>
        <w:spacing w:line="360" w:lineRule="auto"/>
        <w:ind w:left="680" w:firstLine="484" w:firstLineChars="202"/>
        <w:rPr>
          <w:rFonts w:hAnsi="宋体" w:cs="宋体"/>
          <w:sz w:val="24"/>
          <w:szCs w:val="24"/>
        </w:rPr>
      </w:pPr>
      <w:r>
        <w:rPr>
          <w:rFonts w:hint="eastAsia" w:hAnsi="宋体" w:cs="宋体"/>
          <w:sz w:val="24"/>
          <w:szCs w:val="24"/>
        </w:rPr>
        <w:t>（6）商务应答表</w:t>
      </w:r>
    </w:p>
    <w:p>
      <w:pPr>
        <w:pStyle w:val="3"/>
        <w:snapToGrid w:val="0"/>
        <w:spacing w:line="360" w:lineRule="auto"/>
        <w:ind w:left="680" w:firstLine="484" w:firstLineChars="202"/>
        <w:rPr>
          <w:rFonts w:hAnsi="宋体" w:cs="宋体"/>
          <w:sz w:val="24"/>
          <w:szCs w:val="24"/>
        </w:rPr>
      </w:pPr>
      <w:r>
        <w:rPr>
          <w:rFonts w:hint="eastAsia" w:hAnsi="宋体" w:cs="宋体"/>
          <w:sz w:val="24"/>
          <w:szCs w:val="24"/>
        </w:rPr>
        <w:t>（7）投标人认为有必要补充说明的相关信息</w:t>
      </w:r>
    </w:p>
    <w:p>
      <w:pPr>
        <w:pStyle w:val="6"/>
        <w:snapToGrid w:val="0"/>
        <w:spacing w:before="0" w:after="0" w:line="360" w:lineRule="auto"/>
        <w:ind w:firstLine="161" w:firstLineChars="67"/>
        <w:rPr>
          <w:rFonts w:hAnsi="宋体" w:cs="宋体"/>
          <w:sz w:val="24"/>
          <w:szCs w:val="24"/>
        </w:rPr>
      </w:pPr>
      <w:bookmarkStart w:id="57" w:name="_Toc6188"/>
      <w:r>
        <w:rPr>
          <w:rFonts w:hint="eastAsia" w:hAnsi="宋体" w:cs="宋体"/>
          <w:sz w:val="24"/>
          <w:szCs w:val="24"/>
        </w:rPr>
        <w:t>7.投标文件的说明。</w:t>
      </w:r>
      <w:bookmarkEnd w:id="57"/>
    </w:p>
    <w:p>
      <w:pPr>
        <w:pStyle w:val="3"/>
        <w:snapToGrid w:val="0"/>
        <w:spacing w:line="360" w:lineRule="exact"/>
        <w:ind w:left="680" w:firstLine="240" w:firstLineChars="100"/>
        <w:rPr>
          <w:rFonts w:hAnsi="宋体" w:cs="宋体"/>
          <w:sz w:val="24"/>
          <w:szCs w:val="24"/>
        </w:rPr>
      </w:pPr>
      <w:r>
        <w:rPr>
          <w:rFonts w:hint="eastAsia" w:hAnsi="宋体" w:cs="宋体"/>
          <w:sz w:val="24"/>
          <w:szCs w:val="24"/>
        </w:rPr>
        <w:t>7.1报价部分。投标人按照招标文件要求填写“投标报价表”及“分项报价明细表”。 本次招标报价要求：</w:t>
      </w:r>
    </w:p>
    <w:p>
      <w:pPr>
        <w:pStyle w:val="3"/>
        <w:snapToGrid w:val="0"/>
        <w:spacing w:line="360" w:lineRule="exact"/>
        <w:ind w:left="680" w:firstLine="484" w:firstLineChars="202"/>
        <w:rPr>
          <w:rFonts w:hAnsi="宋体" w:cs="宋体"/>
          <w:sz w:val="24"/>
          <w:szCs w:val="24"/>
        </w:rPr>
      </w:pPr>
      <w:r>
        <w:rPr>
          <w:rFonts w:hint="eastAsia" w:hAnsi="宋体" w:cs="宋体"/>
          <w:sz w:val="24"/>
          <w:szCs w:val="24"/>
        </w:rPr>
        <w:t>（1）投标人的报价是投标人响应招标项目要求的全部工作内容的价格体现，包括投标人完成本项目所需的一切费用。</w:t>
      </w:r>
    </w:p>
    <w:p>
      <w:pPr>
        <w:pStyle w:val="3"/>
        <w:snapToGrid w:val="0"/>
        <w:spacing w:line="360" w:lineRule="exact"/>
        <w:ind w:left="680" w:firstLine="480" w:firstLineChars="200"/>
        <w:rPr>
          <w:rFonts w:hAnsi="宋体" w:cs="宋体"/>
          <w:sz w:val="24"/>
          <w:szCs w:val="24"/>
        </w:rPr>
      </w:pPr>
      <w:r>
        <w:rPr>
          <w:rFonts w:hint="eastAsia" w:hAnsi="宋体" w:cs="宋体"/>
          <w:sz w:val="24"/>
          <w:szCs w:val="24"/>
        </w:rPr>
        <w:t>（2）投标人每种货物只允许有一个报价，并且在合同履行过程中是固定不变的，任何有选择或可调整的报价将不予接受，并按无效投标处理。</w:t>
      </w:r>
    </w:p>
    <w:p>
      <w:pPr>
        <w:pStyle w:val="3"/>
        <w:snapToGrid w:val="0"/>
        <w:spacing w:line="360" w:lineRule="exact"/>
        <w:ind w:left="680" w:firstLine="240" w:firstLineChars="100"/>
        <w:rPr>
          <w:rFonts w:hAnsi="宋体" w:cs="宋体"/>
          <w:sz w:val="24"/>
          <w:szCs w:val="24"/>
        </w:rPr>
      </w:pPr>
      <w:r>
        <w:rPr>
          <w:rFonts w:hint="eastAsia" w:hAnsi="宋体" w:cs="宋体"/>
          <w:sz w:val="24"/>
          <w:szCs w:val="24"/>
        </w:rPr>
        <w:t>7.2 商务及技术部分。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pStyle w:val="3"/>
        <w:snapToGrid w:val="0"/>
        <w:spacing w:line="360" w:lineRule="exact"/>
        <w:ind w:left="680" w:firstLine="484" w:firstLineChars="202"/>
        <w:rPr>
          <w:rFonts w:hAnsi="宋体" w:cs="宋体"/>
          <w:sz w:val="24"/>
          <w:szCs w:val="24"/>
        </w:rPr>
      </w:pPr>
      <w:r>
        <w:rPr>
          <w:rFonts w:hint="eastAsia" w:hAnsi="宋体" w:cs="宋体"/>
          <w:sz w:val="24"/>
          <w:szCs w:val="24"/>
        </w:rPr>
        <w:t>（1）投标函；</w:t>
      </w:r>
    </w:p>
    <w:p>
      <w:pPr>
        <w:pStyle w:val="3"/>
        <w:snapToGrid w:val="0"/>
        <w:spacing w:line="360" w:lineRule="exact"/>
        <w:ind w:left="680" w:firstLine="484" w:firstLineChars="202"/>
        <w:rPr>
          <w:rFonts w:hAnsi="宋体" w:cs="宋体"/>
          <w:sz w:val="24"/>
          <w:szCs w:val="24"/>
        </w:rPr>
      </w:pPr>
      <w:r>
        <w:rPr>
          <w:rFonts w:hint="eastAsia" w:hAnsi="宋体" w:cs="宋体"/>
          <w:sz w:val="24"/>
          <w:szCs w:val="24"/>
        </w:rPr>
        <w:t>（2）法定代表人授权书；</w:t>
      </w:r>
    </w:p>
    <w:p>
      <w:pPr>
        <w:pStyle w:val="3"/>
        <w:snapToGrid w:val="0"/>
        <w:spacing w:line="360" w:lineRule="exact"/>
        <w:ind w:left="680" w:firstLine="484" w:firstLineChars="202"/>
        <w:rPr>
          <w:rFonts w:hAnsi="宋体" w:cs="宋体"/>
          <w:sz w:val="24"/>
          <w:szCs w:val="24"/>
        </w:rPr>
      </w:pPr>
      <w:r>
        <w:rPr>
          <w:rFonts w:hint="eastAsia" w:hAnsi="宋体" w:cs="宋体"/>
          <w:sz w:val="24"/>
          <w:szCs w:val="24"/>
        </w:rPr>
        <w:t>（3）法定代表人和授权代表人身份证复印件；</w:t>
      </w:r>
    </w:p>
    <w:p>
      <w:pPr>
        <w:pStyle w:val="3"/>
        <w:snapToGrid w:val="0"/>
        <w:spacing w:line="360" w:lineRule="exact"/>
        <w:ind w:left="680" w:firstLine="484" w:firstLineChars="202"/>
        <w:rPr>
          <w:rFonts w:hAnsi="宋体" w:cs="宋体"/>
          <w:sz w:val="24"/>
          <w:szCs w:val="24"/>
        </w:rPr>
      </w:pPr>
      <w:r>
        <w:rPr>
          <w:rFonts w:hint="eastAsia" w:hAnsi="宋体" w:cs="宋体"/>
          <w:sz w:val="24"/>
          <w:szCs w:val="24"/>
        </w:rPr>
        <w:t>（4）证明投标人业绩的有关材料；</w:t>
      </w:r>
    </w:p>
    <w:p>
      <w:pPr>
        <w:pStyle w:val="3"/>
        <w:snapToGrid w:val="0"/>
        <w:spacing w:line="360" w:lineRule="exact"/>
        <w:ind w:left="680" w:firstLine="484" w:firstLineChars="202"/>
        <w:rPr>
          <w:rFonts w:hAnsi="宋体" w:cs="宋体"/>
          <w:sz w:val="24"/>
          <w:szCs w:val="24"/>
        </w:rPr>
      </w:pPr>
      <w:r>
        <w:rPr>
          <w:rFonts w:hint="eastAsia" w:hAnsi="宋体" w:cs="宋体"/>
          <w:sz w:val="24"/>
          <w:szCs w:val="24"/>
        </w:rPr>
        <w:t>（5）商务应答表；</w:t>
      </w:r>
    </w:p>
    <w:p>
      <w:pPr>
        <w:pStyle w:val="3"/>
        <w:snapToGrid w:val="0"/>
        <w:spacing w:line="360" w:lineRule="exact"/>
        <w:ind w:left="680" w:firstLine="484" w:firstLineChars="202"/>
        <w:rPr>
          <w:rFonts w:hAnsi="宋体" w:cs="宋体"/>
          <w:sz w:val="24"/>
          <w:szCs w:val="24"/>
        </w:rPr>
      </w:pPr>
      <w:r>
        <w:rPr>
          <w:rFonts w:hint="eastAsia" w:hAnsi="宋体" w:cs="宋体"/>
          <w:sz w:val="24"/>
          <w:szCs w:val="24"/>
        </w:rPr>
        <w:t>（6）按招标文件第四章（二）服务内容做技术应答。</w:t>
      </w:r>
    </w:p>
    <w:p>
      <w:pPr>
        <w:pStyle w:val="3"/>
        <w:snapToGrid w:val="0"/>
        <w:spacing w:line="360" w:lineRule="exact"/>
        <w:ind w:left="418" w:leftChars="123"/>
        <w:rPr>
          <w:rFonts w:hAnsi="宋体" w:cs="宋体"/>
          <w:sz w:val="24"/>
          <w:szCs w:val="24"/>
          <w:highlight w:val="yellow"/>
        </w:rPr>
      </w:pPr>
    </w:p>
    <w:p>
      <w:pPr>
        <w:pStyle w:val="6"/>
        <w:tabs>
          <w:tab w:val="left" w:pos="3480"/>
        </w:tabs>
        <w:snapToGrid w:val="0"/>
        <w:spacing w:before="0" w:after="0" w:line="360" w:lineRule="auto"/>
        <w:ind w:firstLine="120" w:firstLineChars="50"/>
        <w:rPr>
          <w:rFonts w:hAnsi="宋体" w:cs="宋体"/>
          <w:sz w:val="24"/>
          <w:szCs w:val="24"/>
        </w:rPr>
      </w:pPr>
      <w:bookmarkStart w:id="58" w:name="_Toc29227"/>
      <w:r>
        <w:rPr>
          <w:rFonts w:hint="eastAsia" w:hAnsi="宋体" w:cs="宋体"/>
          <w:sz w:val="24"/>
          <w:szCs w:val="24"/>
        </w:rPr>
        <w:t>8．投标文件格式</w:t>
      </w:r>
      <w:bookmarkEnd w:id="53"/>
      <w:bookmarkEnd w:id="54"/>
      <w:bookmarkEnd w:id="55"/>
      <w:bookmarkEnd w:id="5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59" w:name="_Toc20507"/>
      <w:bookmarkStart w:id="60" w:name="_Toc183582224"/>
      <w:bookmarkStart w:id="61" w:name="_Toc183682361"/>
      <w:bookmarkStart w:id="62" w:name="_Toc217446051"/>
      <w:r>
        <w:rPr>
          <w:rFonts w:hint="eastAsia" w:hAnsi="宋体" w:cs="宋体"/>
          <w:sz w:val="24"/>
          <w:szCs w:val="24"/>
        </w:rPr>
        <w:t>9．投标有效期</w:t>
      </w:r>
      <w:bookmarkEnd w:id="59"/>
      <w:bookmarkEnd w:id="60"/>
      <w:bookmarkEnd w:id="61"/>
      <w:bookmarkEnd w:id="62"/>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63" w:name="_Toc183682363"/>
      <w:bookmarkStart w:id="64" w:name="_Toc89075877"/>
      <w:bookmarkStart w:id="65" w:name="_Toc77400781"/>
      <w:bookmarkStart w:id="66" w:name="_Toc183582226"/>
      <w:bookmarkStart w:id="67" w:name="_Toc217446053"/>
      <w:bookmarkStart w:id="68" w:name="_Toc32303"/>
      <w:r>
        <w:rPr>
          <w:rFonts w:hint="eastAsia" w:hAnsi="宋体" w:cs="宋体"/>
          <w:sz w:val="24"/>
          <w:szCs w:val="24"/>
        </w:rPr>
        <w:t>10. 投标文件的密封和标</w:t>
      </w:r>
      <w:bookmarkEnd w:id="63"/>
      <w:bookmarkEnd w:id="64"/>
      <w:bookmarkEnd w:id="65"/>
      <w:bookmarkEnd w:id="66"/>
      <w:r>
        <w:rPr>
          <w:rFonts w:hint="eastAsia" w:hAnsi="宋体" w:cs="宋体"/>
          <w:sz w:val="24"/>
          <w:szCs w:val="24"/>
        </w:rPr>
        <w:t>注</w:t>
      </w:r>
      <w:bookmarkEnd w:id="67"/>
      <w:bookmarkEnd w:id="68"/>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69" w:name="_Toc183682364"/>
      <w:bookmarkStart w:id="70" w:name="_Toc183582227"/>
      <w:bookmarkStart w:id="71" w:name="_Toc14650"/>
      <w:bookmarkStart w:id="72" w:name="_Toc217446054"/>
      <w:r>
        <w:rPr>
          <w:rFonts w:hint="eastAsia" w:hAnsi="宋体" w:cs="宋体"/>
          <w:sz w:val="24"/>
          <w:szCs w:val="24"/>
        </w:rPr>
        <w:t>11．投标文件的</w:t>
      </w:r>
      <w:bookmarkEnd w:id="69"/>
      <w:bookmarkEnd w:id="70"/>
      <w:r>
        <w:rPr>
          <w:rFonts w:hint="eastAsia" w:hAnsi="宋体" w:cs="宋体"/>
          <w:sz w:val="24"/>
          <w:szCs w:val="24"/>
        </w:rPr>
        <w:t>递交</w:t>
      </w:r>
      <w:bookmarkEnd w:id="71"/>
      <w:bookmarkEnd w:id="72"/>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73" w:name="_Toc183582228"/>
      <w:bookmarkStart w:id="74" w:name="_Toc183682365"/>
      <w:bookmarkStart w:id="75" w:name="_Toc217446055"/>
      <w:bookmarkStart w:id="76" w:name="_Toc8561"/>
      <w:r>
        <w:rPr>
          <w:rFonts w:hint="eastAsia" w:hAnsi="宋体" w:cs="宋体"/>
          <w:sz w:val="24"/>
          <w:szCs w:val="24"/>
        </w:rPr>
        <w:t>12．投标文件的修改和撤</w:t>
      </w:r>
      <w:bookmarkEnd w:id="73"/>
      <w:bookmarkEnd w:id="74"/>
      <w:r>
        <w:rPr>
          <w:rFonts w:hint="eastAsia" w:hAnsi="宋体" w:cs="宋体"/>
          <w:sz w:val="24"/>
          <w:szCs w:val="24"/>
        </w:rPr>
        <w:t>回</w:t>
      </w:r>
      <w:bookmarkEnd w:id="75"/>
      <w:bookmarkEnd w:id="7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77" w:name="_Toc89075878"/>
      <w:bookmarkStart w:id="78" w:name="_Toc217446056"/>
      <w:bookmarkStart w:id="79" w:name="_Toc183682368"/>
      <w:bookmarkStart w:id="80" w:name="_Toc183582231"/>
      <w:bookmarkStart w:id="81" w:name="_Toc77400782"/>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77"/>
      <w:bookmarkEnd w:id="78"/>
      <w:bookmarkEnd w:id="79"/>
      <w:bookmarkEnd w:id="80"/>
      <w:bookmarkEnd w:id="81"/>
      <w:bookmarkStart w:id="82" w:name="_Toc183582232"/>
      <w:bookmarkStart w:id="83" w:name="_Toc217446057"/>
      <w:bookmarkStart w:id="84" w:name="_Toc183682369"/>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82"/>
      <w:bookmarkEnd w:id="83"/>
      <w:bookmarkEnd w:id="84"/>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bookmarkStart w:id="85" w:name="_Toc8504"/>
      <w:r>
        <w:rPr>
          <w:rFonts w:hint="eastAsia" w:hAnsi="宋体" w:cs="宋体"/>
          <w:sz w:val="24"/>
          <w:szCs w:val="24"/>
        </w:rPr>
        <w:t>14．评标</w:t>
      </w:r>
      <w:bookmarkEnd w:id="85"/>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86" w:name="_Toc183582238"/>
      <w:bookmarkStart w:id="87" w:name="_Toc183682375"/>
      <w:bookmarkStart w:id="88" w:name="_Toc11086"/>
      <w:bookmarkStart w:id="89" w:name="_Toc217446063"/>
      <w:r>
        <w:rPr>
          <w:rFonts w:hint="eastAsia" w:hAnsi="宋体" w:cs="宋体"/>
          <w:sz w:val="24"/>
          <w:szCs w:val="24"/>
        </w:rPr>
        <w:t>15．中标通知</w:t>
      </w:r>
      <w:bookmarkEnd w:id="86"/>
      <w:bookmarkEnd w:id="87"/>
      <w:r>
        <w:rPr>
          <w:rFonts w:hint="eastAsia" w:hAnsi="宋体" w:cs="宋体"/>
          <w:sz w:val="24"/>
          <w:szCs w:val="24"/>
        </w:rPr>
        <w:t>书</w:t>
      </w:r>
      <w:bookmarkEnd w:id="88"/>
      <w:bookmarkEnd w:id="89"/>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90" w:name="_Toc217446064"/>
      <w:bookmarkStart w:id="91" w:name="_Toc183582240"/>
      <w:bookmarkStart w:id="92"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90"/>
    </w:p>
    <w:p>
      <w:pPr>
        <w:pStyle w:val="5"/>
        <w:snapToGrid w:val="0"/>
        <w:spacing w:before="0" w:after="0" w:line="360" w:lineRule="auto"/>
        <w:ind w:firstLine="161" w:firstLineChars="67"/>
        <w:rPr>
          <w:rFonts w:ascii="宋体" w:hAnsi="宋体" w:eastAsia="宋体" w:cs="宋体"/>
          <w:sz w:val="24"/>
          <w:szCs w:val="24"/>
        </w:rPr>
      </w:pPr>
      <w:bookmarkStart w:id="93" w:name="_Toc217446065"/>
      <w:bookmarkStart w:id="94" w:name="_Toc6336"/>
      <w:r>
        <w:rPr>
          <w:rFonts w:hint="eastAsia" w:ascii="宋体" w:hAnsi="宋体" w:eastAsia="宋体" w:cs="宋体"/>
          <w:sz w:val="24"/>
          <w:szCs w:val="24"/>
        </w:rPr>
        <w:t>16. 签订合同</w:t>
      </w:r>
      <w:bookmarkEnd w:id="93"/>
      <w:bookmarkEnd w:id="9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95" w:name="_Toc217446069"/>
      <w:bookmarkStart w:id="96" w:name="_Toc30076"/>
      <w:r>
        <w:rPr>
          <w:rFonts w:hint="eastAsia" w:ascii="宋体" w:hAnsi="宋体" w:eastAsia="宋体" w:cs="宋体"/>
          <w:sz w:val="24"/>
          <w:szCs w:val="24"/>
        </w:rPr>
        <w:t>17. 履行合同</w:t>
      </w:r>
      <w:bookmarkEnd w:id="95"/>
      <w:bookmarkEnd w:id="96"/>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97" w:name="_Toc217446070"/>
      <w:bookmarkStart w:id="98" w:name="_Toc22400"/>
      <w:r>
        <w:rPr>
          <w:rFonts w:hint="eastAsia" w:ascii="宋体" w:hAnsi="宋体" w:eastAsia="宋体" w:cs="宋体"/>
          <w:sz w:val="24"/>
          <w:szCs w:val="24"/>
        </w:rPr>
        <w:t>18. 验收</w:t>
      </w:r>
      <w:bookmarkEnd w:id="97"/>
      <w:bookmarkEnd w:id="98"/>
    </w:p>
    <w:bookmarkEnd w:id="91"/>
    <w:bookmarkEnd w:id="92"/>
    <w:p>
      <w:pPr>
        <w:tabs>
          <w:tab w:val="left" w:pos="7665"/>
        </w:tabs>
        <w:snapToGrid w:val="0"/>
        <w:spacing w:line="360" w:lineRule="auto"/>
        <w:ind w:firstLine="480" w:firstLineChars="200"/>
        <w:rPr>
          <w:rFonts w:hAnsi="宋体" w:cs="宋体"/>
          <w:sz w:val="24"/>
          <w:szCs w:val="24"/>
        </w:rPr>
      </w:pPr>
      <w:bookmarkStart w:id="99" w:name="_Toc217446071"/>
      <w:bookmarkStart w:id="100" w:name="_Toc217446074"/>
      <w:bookmarkStart w:id="101" w:name="_Toc183682380"/>
      <w:bookmarkStart w:id="102" w:name="_Toc183582243"/>
      <w:r>
        <w:rPr>
          <w:rFonts w:hint="eastAsia" w:hAnsi="宋体" w:cs="宋体"/>
          <w:sz w:val="24"/>
          <w:szCs w:val="24"/>
        </w:rPr>
        <w:t xml:space="preserve"> 中标人与采购人按照招标项目服务内容及要求、商务及其他要求（参见第四章）进行验收，采购人也可依据合同自行组织验收。</w:t>
      </w:r>
    </w:p>
    <w:bookmarkEnd w:id="99"/>
    <w:p>
      <w:pPr>
        <w:pStyle w:val="5"/>
        <w:snapToGrid w:val="0"/>
        <w:spacing w:before="0" w:after="0" w:line="360" w:lineRule="auto"/>
        <w:jc w:val="center"/>
        <w:rPr>
          <w:rFonts w:ascii="宋体" w:hAnsi="宋体" w:eastAsia="宋体" w:cs="宋体"/>
          <w:sz w:val="30"/>
          <w:szCs w:val="30"/>
        </w:rPr>
      </w:pPr>
      <w:bookmarkStart w:id="103" w:name="_Toc21119"/>
      <w:r>
        <w:rPr>
          <w:rFonts w:hint="eastAsia" w:ascii="宋体" w:hAnsi="宋体" w:eastAsia="宋体" w:cs="宋体"/>
          <w:sz w:val="30"/>
          <w:szCs w:val="30"/>
        </w:rPr>
        <w:t>六、投标纪律要求</w:t>
      </w:r>
      <w:bookmarkEnd w:id="100"/>
      <w:bookmarkEnd w:id="103"/>
    </w:p>
    <w:p>
      <w:pPr>
        <w:pStyle w:val="5"/>
        <w:snapToGrid w:val="0"/>
        <w:spacing w:before="0" w:after="0" w:line="360" w:lineRule="auto"/>
        <w:ind w:firstLine="161" w:firstLineChars="67"/>
        <w:rPr>
          <w:rFonts w:ascii="宋体" w:hAnsi="宋体" w:eastAsia="宋体" w:cs="宋体"/>
          <w:sz w:val="24"/>
          <w:szCs w:val="24"/>
        </w:rPr>
      </w:pPr>
      <w:bookmarkStart w:id="104" w:name="_Toc8527"/>
      <w:bookmarkStart w:id="105" w:name="_Toc217446075"/>
      <w:r>
        <w:rPr>
          <w:rFonts w:hint="eastAsia" w:ascii="宋体" w:hAnsi="宋体" w:eastAsia="宋体" w:cs="宋体"/>
          <w:sz w:val="24"/>
          <w:szCs w:val="24"/>
        </w:rPr>
        <w:t>19. 投标人不得具有的情形</w:t>
      </w:r>
      <w:bookmarkEnd w:id="104"/>
      <w:bookmarkEnd w:id="105"/>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Ansi="宋体" w:cs="宋体"/>
          <w:b/>
          <w:bCs/>
          <w:sz w:val="30"/>
          <w:szCs w:val="30"/>
        </w:rPr>
      </w:pPr>
      <w:bookmarkStart w:id="106" w:name="_Toc217446078"/>
      <w:r>
        <w:rPr>
          <w:rFonts w:hint="eastAsia" w:hAnsi="宋体" w:cs="宋体"/>
          <w:b/>
          <w:bCs/>
          <w:sz w:val="30"/>
          <w:szCs w:val="30"/>
        </w:rPr>
        <w:t>七、质疑</w:t>
      </w:r>
      <w:bookmarkEnd w:id="106"/>
      <w:bookmarkStart w:id="107" w:name="_Toc217446079"/>
    </w:p>
    <w:bookmarkEnd w:id="107"/>
    <w:p>
      <w:pPr>
        <w:pStyle w:val="5"/>
        <w:snapToGrid w:val="0"/>
        <w:spacing w:before="0" w:after="0" w:line="360" w:lineRule="auto"/>
        <w:ind w:left="1375" w:leftChars="50" w:hanging="1205" w:hangingChars="500"/>
        <w:rPr>
          <w:rFonts w:ascii="宋体" w:hAnsi="宋体" w:eastAsia="宋体" w:cs="宋体"/>
          <w:sz w:val="24"/>
          <w:szCs w:val="24"/>
        </w:rPr>
      </w:pPr>
      <w:bookmarkStart w:id="108" w:name="_Toc19626"/>
      <w:r>
        <w:rPr>
          <w:rFonts w:hint="eastAsia" w:ascii="宋体" w:hAnsi="宋体" w:eastAsia="宋体" w:cs="宋体"/>
          <w:sz w:val="24"/>
          <w:szCs w:val="24"/>
        </w:rPr>
        <w:t>20.质疑</w:t>
      </w:r>
      <w:bookmarkEnd w:id="101"/>
      <w:bookmarkEnd w:id="102"/>
      <w:bookmarkEnd w:id="108"/>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在招标投标过程中，如有任何质疑，可向四川铁道职业学院纪检监察室询问，联系电话：028-68939969。</w:t>
      </w:r>
    </w:p>
    <w:p>
      <w:pPr>
        <w:widowControl/>
        <w:jc w:val="left"/>
        <w:rPr>
          <w:rFonts w:hAnsi="宋体" w:cs="宋体"/>
          <w:sz w:val="24"/>
          <w:szCs w:val="32"/>
        </w:rPr>
      </w:pPr>
      <w:r>
        <w:rPr>
          <w:rFonts w:hAnsi="宋体" w:cs="宋体"/>
          <w:sz w:val="24"/>
        </w:rPr>
        <w:br w:type="page"/>
      </w:r>
    </w:p>
    <w:p>
      <w:pPr>
        <w:pStyle w:val="4"/>
        <w:snapToGrid w:val="0"/>
        <w:spacing w:before="0" w:after="0" w:line="360" w:lineRule="auto"/>
        <w:jc w:val="center"/>
        <w:rPr>
          <w:rFonts w:hAnsi="宋体" w:cs="宋体"/>
          <w:sz w:val="30"/>
          <w:szCs w:val="30"/>
        </w:rPr>
      </w:pPr>
      <w:bookmarkStart w:id="109" w:name="_Toc116221028"/>
      <w:bookmarkStart w:id="110" w:name="_Toc15782"/>
      <w:r>
        <w:rPr>
          <w:rFonts w:hint="eastAsia" w:hAnsi="宋体" w:cs="宋体"/>
          <w:sz w:val="30"/>
          <w:szCs w:val="30"/>
        </w:rPr>
        <w:t>第三章</w:t>
      </w:r>
      <w:r>
        <w:rPr>
          <w:rFonts w:hint="eastAsia" w:hAnsi="宋体" w:cs="宋体"/>
          <w:sz w:val="30"/>
          <w:szCs w:val="30"/>
          <w:lang w:val="en-US" w:eastAsia="zh-CN"/>
        </w:rPr>
        <w:t xml:space="preserve"> </w:t>
      </w:r>
      <w:r>
        <w:rPr>
          <w:rFonts w:hint="eastAsia" w:hAnsi="宋体" w:cs="宋体"/>
          <w:sz w:val="30"/>
          <w:szCs w:val="30"/>
        </w:rPr>
        <w:t xml:space="preserve"> 投标文件格式</w:t>
      </w:r>
      <w:bookmarkEnd w:id="109"/>
      <w:bookmarkEnd w:id="110"/>
    </w:p>
    <w:p>
      <w:pPr>
        <w:pStyle w:val="5"/>
        <w:snapToGrid w:val="0"/>
        <w:spacing w:before="0" w:after="0" w:line="360" w:lineRule="auto"/>
        <w:jc w:val="center"/>
        <w:rPr>
          <w:rFonts w:ascii="宋体" w:hAnsi="宋体" w:eastAsia="宋体" w:cs="宋体"/>
        </w:rPr>
      </w:pPr>
      <w:bookmarkStart w:id="111" w:name="_Toc8763"/>
      <w:bookmarkStart w:id="112" w:name="_Toc217446082"/>
      <w:r>
        <w:rPr>
          <w:rFonts w:hint="eastAsia" w:ascii="宋体" w:hAnsi="宋体" w:eastAsia="宋体" w:cs="宋体"/>
        </w:rPr>
        <w:t>一、投 标 函</w:t>
      </w:r>
      <w:bookmarkEnd w:id="111"/>
      <w:bookmarkEnd w:id="112"/>
    </w:p>
    <w:p>
      <w:pPr>
        <w:pStyle w:val="10"/>
        <w:snapToGrid w:val="0"/>
        <w:spacing w:line="348" w:lineRule="auto"/>
        <w:ind w:hanging="1"/>
        <w:jc w:val="left"/>
        <w:rPr>
          <w:rFonts w:hAnsi="宋体" w:cs="宋体"/>
          <w:bCs/>
          <w:sz w:val="24"/>
          <w:szCs w:val="24"/>
        </w:rPr>
      </w:pPr>
      <w:bookmarkStart w:id="113"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numPr>
          <w:ilvl w:val="0"/>
          <w:numId w:val="2"/>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0"/>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widowControl/>
        <w:jc w:val="left"/>
        <w:rPr>
          <w:rFonts w:ascii="Times New Roman"/>
        </w:rPr>
      </w:pPr>
      <w:r>
        <w:rPr>
          <w:rFonts w:ascii="Times New Roman"/>
        </w:rPr>
        <w:br w:type="page"/>
      </w:r>
    </w:p>
    <w:p>
      <w:pPr>
        <w:pStyle w:val="5"/>
        <w:snapToGrid w:val="0"/>
        <w:spacing w:before="0" w:after="0" w:line="360" w:lineRule="auto"/>
        <w:jc w:val="center"/>
        <w:rPr>
          <w:rFonts w:ascii="宋体" w:hAnsi="宋体" w:eastAsia="宋体" w:cs="宋体"/>
        </w:rPr>
      </w:pPr>
      <w:bookmarkStart w:id="114" w:name="_Toc23500"/>
      <w:r>
        <w:rPr>
          <w:rFonts w:hint="eastAsia" w:ascii="宋体" w:hAnsi="宋体" w:eastAsia="宋体" w:cs="宋体"/>
        </w:rPr>
        <w:t>二、法定代表人授权书</w:t>
      </w:r>
      <w:bookmarkEnd w:id="113"/>
      <w:bookmarkEnd w:id="114"/>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int="eastAsia" w:hAnsi="宋体" w:cs="宋体"/>
          <w:sz w:val="24"/>
          <w:szCs w:val="24"/>
        </w:rPr>
      </w:pP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115" w:name="_Toc250041691"/>
      <w:bookmarkStart w:id="116" w:name="_Toc263753600"/>
      <w:bookmarkStart w:id="117" w:name="_Toc256175382"/>
      <w:bookmarkStart w:id="118" w:name="_Toc237145385"/>
      <w:bookmarkStart w:id="119" w:name="_Toc297204985"/>
      <w:bookmarkStart w:id="120" w:name="_Toc263768864"/>
      <w:bookmarkStart w:id="121" w:name="_Toc217446085"/>
    </w:p>
    <w:bookmarkEnd w:id="115"/>
    <w:bookmarkEnd w:id="116"/>
    <w:bookmarkEnd w:id="117"/>
    <w:bookmarkEnd w:id="118"/>
    <w:bookmarkEnd w:id="119"/>
    <w:bookmarkEnd w:id="120"/>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cols w:space="720" w:num="1"/>
          <w:docGrid w:type="lines" w:linePitch="312" w:charSpace="0"/>
        </w:sectPr>
      </w:pPr>
    </w:p>
    <w:bookmarkEnd w:id="121"/>
    <w:p>
      <w:pPr>
        <w:pStyle w:val="5"/>
        <w:keepNext w:val="0"/>
        <w:keepLines w:val="0"/>
        <w:snapToGrid w:val="0"/>
        <w:spacing w:before="0" w:after="0"/>
        <w:jc w:val="center"/>
        <w:rPr>
          <w:rFonts w:ascii="仿宋_GB2312" w:eastAsia="仿宋_GB2312"/>
        </w:rPr>
      </w:pPr>
      <w:bookmarkStart w:id="122" w:name="_Toc123786888"/>
      <w:bookmarkStart w:id="123" w:name="_Toc3931"/>
      <w:bookmarkStart w:id="124" w:name="_Toc315963014"/>
      <w:r>
        <w:rPr>
          <w:rFonts w:hint="eastAsia" w:ascii="宋体" w:hAnsi="宋体" w:eastAsia="宋体" w:cs="宋体"/>
        </w:rPr>
        <w:t>三、投标</w:t>
      </w:r>
      <w:bookmarkEnd w:id="122"/>
      <w:r>
        <w:rPr>
          <w:rFonts w:hint="eastAsia" w:ascii="宋体" w:hAnsi="宋体" w:eastAsia="宋体" w:cs="宋体"/>
        </w:rPr>
        <w:t>报价表</w:t>
      </w:r>
      <w:bookmarkEnd w:id="123"/>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widowControl/>
        <w:jc w:val="left"/>
        <w:rPr>
          <w:rFonts w:ascii="仿宋_GB2312" w:hAnsi="宋体" w:eastAsia="仿宋_GB2312"/>
          <w:sz w:val="24"/>
        </w:rPr>
      </w:pPr>
      <w:r>
        <w:rPr>
          <w:rFonts w:ascii="仿宋_GB2312" w:hAnsi="宋体" w:eastAsia="仿宋_GB2312"/>
          <w:sz w:val="24"/>
        </w:rPr>
        <w:br w:type="page"/>
      </w:r>
    </w:p>
    <w:p>
      <w:pPr>
        <w:pStyle w:val="5"/>
        <w:snapToGrid w:val="0"/>
        <w:spacing w:before="0" w:after="0" w:line="360" w:lineRule="auto"/>
        <w:jc w:val="center"/>
        <w:rPr>
          <w:rFonts w:ascii="宋体" w:hAnsi="宋体" w:eastAsia="宋体" w:cs="宋体"/>
        </w:rPr>
      </w:pPr>
      <w:bookmarkStart w:id="125" w:name="_Toc20828"/>
      <w:r>
        <w:rPr>
          <w:rFonts w:hint="eastAsia" w:ascii="宋体" w:hAnsi="宋体" w:eastAsia="宋体" w:cs="宋体"/>
        </w:rPr>
        <w:t>四、分项报价明细表</w:t>
      </w:r>
      <w:bookmarkEnd w:id="124"/>
      <w:bookmarkEnd w:id="125"/>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16"/>
        <w:tblpPr w:leftFromText="180" w:rightFromText="180" w:vertAnchor="text" w:horzAnchor="page" w:tblpX="1665" w:tblpY="348"/>
        <w:tblOverlap w:val="never"/>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807"/>
        <w:gridCol w:w="2058"/>
        <w:gridCol w:w="750"/>
        <w:gridCol w:w="660"/>
        <w:gridCol w:w="918"/>
        <w:gridCol w:w="867"/>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73" w:type="dxa"/>
            <w:vAlign w:val="center"/>
          </w:tcPr>
          <w:p>
            <w:pPr>
              <w:widowControl/>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序号</w:t>
            </w:r>
          </w:p>
        </w:tc>
        <w:tc>
          <w:tcPr>
            <w:tcW w:w="1807" w:type="dxa"/>
            <w:vAlign w:val="center"/>
          </w:tcPr>
          <w:p>
            <w:pPr>
              <w:widowControl/>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项目</w:t>
            </w:r>
          </w:p>
        </w:tc>
        <w:tc>
          <w:tcPr>
            <w:tcW w:w="2058" w:type="dxa"/>
            <w:vAlign w:val="center"/>
          </w:tcPr>
          <w:p>
            <w:pPr>
              <w:widowControl/>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服务内容及要求</w:t>
            </w:r>
          </w:p>
        </w:tc>
        <w:tc>
          <w:tcPr>
            <w:tcW w:w="750" w:type="dxa"/>
            <w:vAlign w:val="center"/>
          </w:tcPr>
          <w:p>
            <w:pPr>
              <w:widowControl/>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数量</w:t>
            </w:r>
          </w:p>
        </w:tc>
        <w:tc>
          <w:tcPr>
            <w:tcW w:w="660" w:type="dxa"/>
            <w:vAlign w:val="center"/>
          </w:tcPr>
          <w:p>
            <w:pPr>
              <w:widowControl/>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单位</w:t>
            </w:r>
          </w:p>
        </w:tc>
        <w:tc>
          <w:tcPr>
            <w:tcW w:w="918" w:type="dxa"/>
            <w:vAlign w:val="center"/>
          </w:tcPr>
          <w:p>
            <w:pPr>
              <w:widowControl/>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单价（元）</w:t>
            </w:r>
          </w:p>
        </w:tc>
        <w:tc>
          <w:tcPr>
            <w:tcW w:w="867" w:type="dxa"/>
            <w:vAlign w:val="center"/>
          </w:tcPr>
          <w:p>
            <w:pPr>
              <w:widowControl/>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合计（元）</w:t>
            </w:r>
          </w:p>
        </w:tc>
        <w:tc>
          <w:tcPr>
            <w:tcW w:w="1343" w:type="dxa"/>
            <w:vAlign w:val="center"/>
          </w:tcPr>
          <w:p>
            <w:pPr>
              <w:widowControl/>
              <w:adjustRightInd w:val="0"/>
              <w:snapToGrid w:val="0"/>
              <w:spacing w:line="360" w:lineRule="exact"/>
              <w:rPr>
                <w:rFonts w:ascii="仿宋" w:hAnsi="仿宋" w:eastAsia="仿宋" w:cs="仿宋"/>
                <w:bCs/>
                <w:sz w:val="24"/>
                <w:szCs w:val="24"/>
              </w:rPr>
            </w:pPr>
            <w:r>
              <w:rPr>
                <w:rFonts w:hint="eastAsia" w:ascii="仿宋" w:hAnsi="仿宋" w:eastAsia="仿宋" w:cs="仿宋"/>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vAlign w:val="center"/>
          </w:tcPr>
          <w:p>
            <w:pPr>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1</w:t>
            </w:r>
          </w:p>
        </w:tc>
        <w:tc>
          <w:tcPr>
            <w:tcW w:w="1807" w:type="dxa"/>
          </w:tcPr>
          <w:p>
            <w:pPr>
              <w:rPr>
                <w:rFonts w:hAnsi="宋体"/>
                <w:b/>
                <w:bCs/>
                <w:sz w:val="21"/>
                <w:szCs w:val="21"/>
                <w:highlight w:val="yellow"/>
              </w:rPr>
            </w:pPr>
          </w:p>
        </w:tc>
        <w:tc>
          <w:tcPr>
            <w:tcW w:w="2058" w:type="dxa"/>
            <w:vAlign w:val="center"/>
          </w:tcPr>
          <w:p>
            <w:pPr>
              <w:adjustRightInd w:val="0"/>
              <w:snapToGrid w:val="0"/>
              <w:spacing w:line="360" w:lineRule="exact"/>
              <w:jc w:val="center"/>
              <w:rPr>
                <w:rFonts w:ascii="仿宋" w:hAnsi="仿宋" w:eastAsia="仿宋" w:cs="仿宋"/>
                <w:bCs/>
                <w:sz w:val="24"/>
                <w:szCs w:val="24"/>
              </w:rPr>
            </w:pPr>
          </w:p>
        </w:tc>
        <w:tc>
          <w:tcPr>
            <w:tcW w:w="750" w:type="dxa"/>
            <w:vAlign w:val="center"/>
          </w:tcPr>
          <w:p>
            <w:pPr>
              <w:adjustRightInd w:val="0"/>
              <w:snapToGrid w:val="0"/>
              <w:spacing w:line="360" w:lineRule="exact"/>
              <w:jc w:val="center"/>
              <w:rPr>
                <w:rFonts w:ascii="仿宋" w:hAnsi="仿宋" w:eastAsia="仿宋" w:cs="仿宋"/>
                <w:bCs/>
                <w:sz w:val="24"/>
                <w:szCs w:val="24"/>
              </w:rPr>
            </w:pPr>
          </w:p>
        </w:tc>
        <w:tc>
          <w:tcPr>
            <w:tcW w:w="660" w:type="dxa"/>
            <w:vAlign w:val="center"/>
          </w:tcPr>
          <w:p>
            <w:pPr>
              <w:adjustRightInd w:val="0"/>
              <w:snapToGrid w:val="0"/>
              <w:spacing w:line="360" w:lineRule="exact"/>
              <w:jc w:val="center"/>
              <w:rPr>
                <w:rFonts w:ascii="仿宋" w:hAnsi="仿宋" w:eastAsia="仿宋" w:cs="仿宋"/>
                <w:bCs/>
                <w:sz w:val="24"/>
                <w:szCs w:val="24"/>
              </w:rPr>
            </w:pPr>
          </w:p>
        </w:tc>
        <w:tc>
          <w:tcPr>
            <w:tcW w:w="918" w:type="dxa"/>
            <w:vAlign w:val="center"/>
          </w:tcPr>
          <w:p>
            <w:pPr>
              <w:adjustRightInd w:val="0"/>
              <w:snapToGrid w:val="0"/>
              <w:spacing w:line="360" w:lineRule="exact"/>
              <w:jc w:val="center"/>
              <w:rPr>
                <w:rFonts w:ascii="仿宋" w:hAnsi="仿宋" w:eastAsia="仿宋" w:cs="仿宋"/>
                <w:bCs/>
                <w:sz w:val="24"/>
                <w:szCs w:val="24"/>
              </w:rPr>
            </w:pPr>
          </w:p>
        </w:tc>
        <w:tc>
          <w:tcPr>
            <w:tcW w:w="867" w:type="dxa"/>
            <w:vAlign w:val="center"/>
          </w:tcPr>
          <w:p>
            <w:pPr>
              <w:adjustRightInd w:val="0"/>
              <w:snapToGrid w:val="0"/>
              <w:spacing w:line="360" w:lineRule="exact"/>
              <w:jc w:val="center"/>
              <w:rPr>
                <w:rFonts w:ascii="仿宋" w:hAnsi="仿宋" w:eastAsia="仿宋" w:cs="仿宋"/>
                <w:bCs/>
                <w:sz w:val="24"/>
                <w:szCs w:val="24"/>
              </w:rPr>
            </w:pPr>
          </w:p>
        </w:tc>
        <w:tc>
          <w:tcPr>
            <w:tcW w:w="1343" w:type="dxa"/>
            <w:vAlign w:val="center"/>
          </w:tcPr>
          <w:p>
            <w:pPr>
              <w:adjustRightInd w:val="0"/>
              <w:snapToGrid w:val="0"/>
              <w:spacing w:line="36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vAlign w:val="center"/>
          </w:tcPr>
          <w:p>
            <w:pPr>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2</w:t>
            </w:r>
          </w:p>
        </w:tc>
        <w:tc>
          <w:tcPr>
            <w:tcW w:w="1807" w:type="dxa"/>
          </w:tcPr>
          <w:p>
            <w:pPr>
              <w:rPr>
                <w:rFonts w:hAnsi="宋体"/>
                <w:b/>
                <w:bCs/>
                <w:sz w:val="21"/>
                <w:szCs w:val="21"/>
                <w:highlight w:val="yellow"/>
              </w:rPr>
            </w:pPr>
          </w:p>
        </w:tc>
        <w:tc>
          <w:tcPr>
            <w:tcW w:w="2058" w:type="dxa"/>
            <w:vAlign w:val="center"/>
          </w:tcPr>
          <w:p>
            <w:pPr>
              <w:adjustRightInd w:val="0"/>
              <w:snapToGrid w:val="0"/>
              <w:spacing w:line="360" w:lineRule="exact"/>
              <w:jc w:val="center"/>
              <w:rPr>
                <w:rFonts w:ascii="仿宋" w:hAnsi="仿宋" w:eastAsia="仿宋" w:cs="仿宋"/>
                <w:bCs/>
                <w:sz w:val="24"/>
                <w:szCs w:val="24"/>
              </w:rPr>
            </w:pPr>
          </w:p>
        </w:tc>
        <w:tc>
          <w:tcPr>
            <w:tcW w:w="750" w:type="dxa"/>
            <w:vAlign w:val="center"/>
          </w:tcPr>
          <w:p>
            <w:pPr>
              <w:adjustRightInd w:val="0"/>
              <w:snapToGrid w:val="0"/>
              <w:spacing w:line="360" w:lineRule="exact"/>
              <w:jc w:val="center"/>
              <w:rPr>
                <w:rFonts w:ascii="仿宋" w:hAnsi="仿宋" w:eastAsia="仿宋" w:cs="仿宋"/>
                <w:bCs/>
                <w:sz w:val="24"/>
                <w:szCs w:val="24"/>
              </w:rPr>
            </w:pPr>
          </w:p>
        </w:tc>
        <w:tc>
          <w:tcPr>
            <w:tcW w:w="660" w:type="dxa"/>
            <w:vAlign w:val="center"/>
          </w:tcPr>
          <w:p>
            <w:pPr>
              <w:adjustRightInd w:val="0"/>
              <w:snapToGrid w:val="0"/>
              <w:spacing w:line="360" w:lineRule="exact"/>
              <w:jc w:val="center"/>
              <w:rPr>
                <w:rFonts w:ascii="仿宋" w:hAnsi="仿宋" w:eastAsia="仿宋" w:cs="仿宋"/>
                <w:bCs/>
                <w:sz w:val="24"/>
                <w:szCs w:val="24"/>
              </w:rPr>
            </w:pPr>
          </w:p>
        </w:tc>
        <w:tc>
          <w:tcPr>
            <w:tcW w:w="918" w:type="dxa"/>
            <w:vAlign w:val="center"/>
          </w:tcPr>
          <w:p>
            <w:pPr>
              <w:adjustRightInd w:val="0"/>
              <w:snapToGrid w:val="0"/>
              <w:spacing w:line="360" w:lineRule="exact"/>
              <w:jc w:val="center"/>
              <w:rPr>
                <w:rFonts w:ascii="仿宋" w:hAnsi="仿宋" w:eastAsia="仿宋" w:cs="仿宋"/>
                <w:bCs/>
                <w:sz w:val="24"/>
                <w:szCs w:val="24"/>
              </w:rPr>
            </w:pPr>
          </w:p>
        </w:tc>
        <w:tc>
          <w:tcPr>
            <w:tcW w:w="867" w:type="dxa"/>
            <w:vAlign w:val="center"/>
          </w:tcPr>
          <w:p>
            <w:pPr>
              <w:adjustRightInd w:val="0"/>
              <w:snapToGrid w:val="0"/>
              <w:spacing w:line="360" w:lineRule="exact"/>
              <w:jc w:val="center"/>
              <w:rPr>
                <w:rFonts w:ascii="仿宋" w:hAnsi="仿宋" w:eastAsia="仿宋" w:cs="仿宋"/>
                <w:bCs/>
                <w:sz w:val="24"/>
                <w:szCs w:val="24"/>
              </w:rPr>
            </w:pPr>
          </w:p>
        </w:tc>
        <w:tc>
          <w:tcPr>
            <w:tcW w:w="1343" w:type="dxa"/>
            <w:vAlign w:val="center"/>
          </w:tcPr>
          <w:p>
            <w:pPr>
              <w:adjustRightInd w:val="0"/>
              <w:snapToGrid w:val="0"/>
              <w:spacing w:line="36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vAlign w:val="center"/>
          </w:tcPr>
          <w:p>
            <w:pPr>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3</w:t>
            </w:r>
          </w:p>
        </w:tc>
        <w:tc>
          <w:tcPr>
            <w:tcW w:w="1807" w:type="dxa"/>
          </w:tcPr>
          <w:p>
            <w:pPr>
              <w:rPr>
                <w:rFonts w:hAnsi="宋体"/>
                <w:b/>
                <w:bCs/>
                <w:sz w:val="21"/>
                <w:szCs w:val="21"/>
                <w:highlight w:val="yellow"/>
              </w:rPr>
            </w:pPr>
          </w:p>
        </w:tc>
        <w:tc>
          <w:tcPr>
            <w:tcW w:w="2058" w:type="dxa"/>
            <w:vAlign w:val="center"/>
          </w:tcPr>
          <w:p>
            <w:pPr>
              <w:adjustRightInd w:val="0"/>
              <w:snapToGrid w:val="0"/>
              <w:spacing w:line="360" w:lineRule="exact"/>
              <w:jc w:val="center"/>
              <w:rPr>
                <w:rFonts w:ascii="仿宋" w:hAnsi="仿宋" w:eastAsia="仿宋" w:cs="仿宋"/>
                <w:bCs/>
                <w:sz w:val="24"/>
                <w:szCs w:val="24"/>
              </w:rPr>
            </w:pPr>
          </w:p>
        </w:tc>
        <w:tc>
          <w:tcPr>
            <w:tcW w:w="750" w:type="dxa"/>
            <w:vAlign w:val="center"/>
          </w:tcPr>
          <w:p>
            <w:pPr>
              <w:adjustRightInd w:val="0"/>
              <w:snapToGrid w:val="0"/>
              <w:spacing w:line="360" w:lineRule="exact"/>
              <w:jc w:val="center"/>
              <w:rPr>
                <w:rFonts w:ascii="仿宋" w:hAnsi="仿宋" w:eastAsia="仿宋" w:cs="仿宋"/>
                <w:bCs/>
                <w:sz w:val="24"/>
                <w:szCs w:val="24"/>
              </w:rPr>
            </w:pPr>
          </w:p>
        </w:tc>
        <w:tc>
          <w:tcPr>
            <w:tcW w:w="660" w:type="dxa"/>
            <w:vAlign w:val="center"/>
          </w:tcPr>
          <w:p>
            <w:pPr>
              <w:adjustRightInd w:val="0"/>
              <w:snapToGrid w:val="0"/>
              <w:spacing w:line="360" w:lineRule="exact"/>
              <w:jc w:val="center"/>
              <w:rPr>
                <w:rFonts w:ascii="仿宋" w:hAnsi="仿宋" w:eastAsia="仿宋" w:cs="仿宋"/>
                <w:bCs/>
                <w:sz w:val="24"/>
                <w:szCs w:val="24"/>
              </w:rPr>
            </w:pPr>
          </w:p>
        </w:tc>
        <w:tc>
          <w:tcPr>
            <w:tcW w:w="918" w:type="dxa"/>
            <w:vAlign w:val="center"/>
          </w:tcPr>
          <w:p>
            <w:pPr>
              <w:adjustRightInd w:val="0"/>
              <w:snapToGrid w:val="0"/>
              <w:spacing w:line="360" w:lineRule="exact"/>
              <w:jc w:val="center"/>
              <w:rPr>
                <w:rFonts w:ascii="仿宋" w:hAnsi="仿宋" w:eastAsia="仿宋" w:cs="仿宋"/>
                <w:bCs/>
                <w:sz w:val="24"/>
                <w:szCs w:val="24"/>
              </w:rPr>
            </w:pPr>
          </w:p>
        </w:tc>
        <w:tc>
          <w:tcPr>
            <w:tcW w:w="867" w:type="dxa"/>
            <w:vAlign w:val="center"/>
          </w:tcPr>
          <w:p>
            <w:pPr>
              <w:adjustRightInd w:val="0"/>
              <w:snapToGrid w:val="0"/>
              <w:spacing w:line="360" w:lineRule="exact"/>
              <w:jc w:val="center"/>
              <w:rPr>
                <w:rFonts w:ascii="仿宋" w:hAnsi="仿宋" w:eastAsia="仿宋" w:cs="仿宋"/>
                <w:bCs/>
                <w:sz w:val="24"/>
                <w:szCs w:val="24"/>
              </w:rPr>
            </w:pPr>
          </w:p>
        </w:tc>
        <w:tc>
          <w:tcPr>
            <w:tcW w:w="1343" w:type="dxa"/>
            <w:vAlign w:val="center"/>
          </w:tcPr>
          <w:p>
            <w:pPr>
              <w:adjustRightInd w:val="0"/>
              <w:snapToGrid w:val="0"/>
              <w:spacing w:line="36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vAlign w:val="center"/>
          </w:tcPr>
          <w:p>
            <w:pPr>
              <w:adjustRightInd w:val="0"/>
              <w:snapToGrid w:val="0"/>
              <w:spacing w:line="360" w:lineRule="exact"/>
              <w:jc w:val="center"/>
              <w:rPr>
                <w:rFonts w:ascii="仿宋" w:hAnsi="仿宋" w:eastAsia="仿宋" w:cs="仿宋"/>
                <w:bCs/>
                <w:sz w:val="24"/>
                <w:szCs w:val="24"/>
              </w:rPr>
            </w:pPr>
            <w:r>
              <w:rPr>
                <w:rFonts w:hint="eastAsia" w:ascii="仿宋" w:hAnsi="仿宋" w:eastAsia="仿宋" w:cs="仿宋"/>
                <w:bCs/>
                <w:sz w:val="24"/>
                <w:szCs w:val="24"/>
              </w:rPr>
              <w:t>4</w:t>
            </w:r>
          </w:p>
        </w:tc>
        <w:tc>
          <w:tcPr>
            <w:tcW w:w="1807" w:type="dxa"/>
          </w:tcPr>
          <w:p>
            <w:pPr>
              <w:rPr>
                <w:rFonts w:hAnsi="宋体"/>
                <w:b/>
                <w:bCs/>
                <w:sz w:val="21"/>
                <w:szCs w:val="21"/>
                <w:highlight w:val="yellow"/>
              </w:rPr>
            </w:pPr>
          </w:p>
        </w:tc>
        <w:tc>
          <w:tcPr>
            <w:tcW w:w="2058" w:type="dxa"/>
            <w:vAlign w:val="center"/>
          </w:tcPr>
          <w:p>
            <w:pPr>
              <w:adjustRightInd w:val="0"/>
              <w:snapToGrid w:val="0"/>
              <w:spacing w:line="360" w:lineRule="exact"/>
              <w:jc w:val="center"/>
              <w:rPr>
                <w:rFonts w:ascii="仿宋" w:hAnsi="仿宋" w:eastAsia="仿宋" w:cs="仿宋"/>
                <w:bCs/>
                <w:sz w:val="24"/>
                <w:szCs w:val="24"/>
              </w:rPr>
            </w:pPr>
          </w:p>
        </w:tc>
        <w:tc>
          <w:tcPr>
            <w:tcW w:w="750" w:type="dxa"/>
            <w:vAlign w:val="center"/>
          </w:tcPr>
          <w:p>
            <w:pPr>
              <w:adjustRightInd w:val="0"/>
              <w:snapToGrid w:val="0"/>
              <w:spacing w:line="360" w:lineRule="exact"/>
              <w:jc w:val="center"/>
              <w:rPr>
                <w:rFonts w:ascii="仿宋" w:hAnsi="仿宋" w:eastAsia="仿宋" w:cs="仿宋"/>
                <w:bCs/>
                <w:sz w:val="24"/>
                <w:szCs w:val="24"/>
              </w:rPr>
            </w:pPr>
          </w:p>
        </w:tc>
        <w:tc>
          <w:tcPr>
            <w:tcW w:w="660" w:type="dxa"/>
            <w:vAlign w:val="center"/>
          </w:tcPr>
          <w:p>
            <w:pPr>
              <w:adjustRightInd w:val="0"/>
              <w:snapToGrid w:val="0"/>
              <w:spacing w:line="360" w:lineRule="exact"/>
              <w:jc w:val="center"/>
              <w:rPr>
                <w:rFonts w:ascii="仿宋" w:hAnsi="仿宋" w:eastAsia="仿宋" w:cs="仿宋"/>
                <w:bCs/>
                <w:sz w:val="24"/>
                <w:szCs w:val="24"/>
              </w:rPr>
            </w:pPr>
          </w:p>
        </w:tc>
        <w:tc>
          <w:tcPr>
            <w:tcW w:w="918" w:type="dxa"/>
            <w:vAlign w:val="center"/>
          </w:tcPr>
          <w:p>
            <w:pPr>
              <w:adjustRightInd w:val="0"/>
              <w:snapToGrid w:val="0"/>
              <w:spacing w:line="360" w:lineRule="exact"/>
              <w:jc w:val="center"/>
              <w:rPr>
                <w:rFonts w:ascii="仿宋" w:hAnsi="仿宋" w:eastAsia="仿宋" w:cs="仿宋"/>
                <w:bCs/>
                <w:sz w:val="24"/>
                <w:szCs w:val="24"/>
              </w:rPr>
            </w:pPr>
          </w:p>
        </w:tc>
        <w:tc>
          <w:tcPr>
            <w:tcW w:w="867" w:type="dxa"/>
            <w:vAlign w:val="center"/>
          </w:tcPr>
          <w:p>
            <w:pPr>
              <w:adjustRightInd w:val="0"/>
              <w:snapToGrid w:val="0"/>
              <w:spacing w:line="360" w:lineRule="exact"/>
              <w:jc w:val="center"/>
              <w:rPr>
                <w:rFonts w:ascii="仿宋" w:hAnsi="仿宋" w:eastAsia="仿宋" w:cs="仿宋"/>
                <w:bCs/>
                <w:sz w:val="24"/>
                <w:szCs w:val="24"/>
              </w:rPr>
            </w:pPr>
          </w:p>
        </w:tc>
        <w:tc>
          <w:tcPr>
            <w:tcW w:w="1343" w:type="dxa"/>
            <w:vAlign w:val="center"/>
          </w:tcPr>
          <w:p>
            <w:pPr>
              <w:adjustRightInd w:val="0"/>
              <w:snapToGrid w:val="0"/>
              <w:spacing w:line="36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6" w:type="dxa"/>
            <w:gridSpan w:val="8"/>
            <w:vAlign w:val="center"/>
          </w:tcPr>
          <w:p>
            <w:pPr>
              <w:adjustRightInd w:val="0"/>
              <w:snapToGrid w:val="0"/>
              <w:spacing w:line="360" w:lineRule="exact"/>
              <w:rPr>
                <w:rFonts w:ascii="仿宋" w:hAnsi="仿宋" w:eastAsia="仿宋" w:cs="仿宋"/>
                <w:sz w:val="24"/>
                <w:szCs w:val="24"/>
              </w:rPr>
            </w:pPr>
            <w:r>
              <w:rPr>
                <w:rFonts w:hint="eastAsia" w:ascii="仿宋" w:hAnsi="仿宋" w:eastAsia="仿宋" w:cs="仿宋"/>
                <w:sz w:val="24"/>
                <w:szCs w:val="24"/>
              </w:rPr>
              <w:t>合计：               元整（大写：             元整）</w:t>
            </w:r>
          </w:p>
          <w:p>
            <w:pPr>
              <w:adjustRightInd w:val="0"/>
              <w:snapToGrid w:val="0"/>
              <w:spacing w:line="360" w:lineRule="exact"/>
              <w:rPr>
                <w:rFonts w:ascii="仿宋" w:hAnsi="仿宋" w:eastAsia="仿宋" w:cs="仿宋"/>
                <w:sz w:val="24"/>
                <w:szCs w:val="24"/>
              </w:rPr>
            </w:pPr>
            <w:r>
              <w:rPr>
                <w:rFonts w:hint="eastAsia" w:ascii="仿宋" w:hAnsi="仿宋" w:eastAsia="仿宋" w:cs="仿宋"/>
                <w:sz w:val="24"/>
                <w:szCs w:val="24"/>
              </w:rPr>
              <w:t>1.成交价为固定包干价，是完成本项目有关的所有费用。</w:t>
            </w:r>
          </w:p>
          <w:p>
            <w:pPr>
              <w:adjustRightInd w:val="0"/>
              <w:snapToGrid w:val="0"/>
              <w:spacing w:line="360" w:lineRule="exact"/>
              <w:rPr>
                <w:rFonts w:ascii="仿宋" w:hAnsi="仿宋" w:eastAsia="仿宋" w:cs="仿宋"/>
                <w:sz w:val="24"/>
                <w:szCs w:val="24"/>
              </w:rPr>
            </w:pPr>
            <w:r>
              <w:rPr>
                <w:rFonts w:hint="eastAsia" w:ascii="仿宋" w:hAnsi="仿宋" w:eastAsia="仿宋" w:cs="仿宋"/>
                <w:sz w:val="24"/>
                <w:szCs w:val="24"/>
              </w:rPr>
              <w:t>2.报价高于本项目的预算为无效响应。</w:t>
            </w:r>
          </w:p>
        </w:tc>
      </w:tr>
    </w:tbl>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adjustRightInd w:val="0"/>
        <w:snapToGrid w:val="0"/>
        <w:spacing w:line="360" w:lineRule="auto"/>
        <w:jc w:val="left"/>
        <w:rPr>
          <w:rFonts w:hAnsi="宋体" w:cs="宋体"/>
        </w:rPr>
      </w:pPr>
      <w:bookmarkStart w:id="126" w:name="_Toc217446087"/>
    </w:p>
    <w:p>
      <w:pPr>
        <w:pStyle w:val="5"/>
        <w:snapToGrid w:val="0"/>
        <w:spacing w:before="0" w:after="0" w:line="360" w:lineRule="auto"/>
        <w:jc w:val="center"/>
        <w:rPr>
          <w:rFonts w:ascii="宋体" w:hAnsi="宋体" w:eastAsia="宋体" w:cs="宋体"/>
        </w:rPr>
      </w:pPr>
      <w:bookmarkStart w:id="127" w:name="_Toc15615"/>
      <w:r>
        <w:rPr>
          <w:rFonts w:hint="eastAsia" w:ascii="宋体" w:hAnsi="宋体" w:eastAsia="宋体" w:cs="宋体"/>
        </w:rPr>
        <w:t>五、商务应答表</w:t>
      </w:r>
      <w:bookmarkEnd w:id="126"/>
      <w:bookmarkEnd w:id="127"/>
    </w:p>
    <w:p>
      <w:pPr>
        <w:pStyle w:val="12"/>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16"/>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492"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492"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49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49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492"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Ansi="宋体" w:cs="宋体"/>
          <w:bCs/>
          <w:sz w:val="24"/>
          <w:szCs w:val="24"/>
        </w:rPr>
      </w:pPr>
      <w:r>
        <w:rPr>
          <w:rFonts w:hAnsi="宋体" w:cs="宋体"/>
          <w:bCs/>
          <w:sz w:val="24"/>
          <w:szCs w:val="24"/>
        </w:rPr>
        <w:br w:type="page"/>
      </w:r>
    </w:p>
    <w:p>
      <w:pPr>
        <w:pStyle w:val="5"/>
        <w:snapToGrid w:val="0"/>
        <w:spacing w:before="0" w:after="0" w:line="360" w:lineRule="auto"/>
        <w:jc w:val="center"/>
        <w:rPr>
          <w:rFonts w:ascii="宋体" w:hAnsi="宋体" w:eastAsia="宋体" w:cs="宋体"/>
        </w:rPr>
      </w:pPr>
      <w:bookmarkStart w:id="128" w:name="_Toc19989"/>
      <w:r>
        <w:rPr>
          <w:rFonts w:hint="eastAsia" w:ascii="宋体" w:hAnsi="宋体" w:eastAsia="宋体" w:cs="宋体"/>
        </w:rPr>
        <w:t>六、投标人近三年类似项目业绩一览表</w:t>
      </w:r>
      <w:bookmarkEnd w:id="128"/>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pStyle w:val="2"/>
        <w:ind w:left="680" w:firstLine="680"/>
      </w:pPr>
    </w:p>
    <w:p>
      <w:pPr>
        <w:pStyle w:val="2"/>
        <w:ind w:left="680" w:firstLine="680"/>
      </w:pPr>
    </w:p>
    <w:p>
      <w:pPr>
        <w:widowControl/>
        <w:jc w:val="left"/>
        <w:rPr>
          <w:rFonts w:hAnsi="宋体" w:cs="宋体"/>
        </w:rPr>
        <w:sectPr>
          <w:pgSz w:w="11906" w:h="16838"/>
          <w:pgMar w:top="1083" w:right="1440" w:bottom="1083" w:left="1440" w:header="851" w:footer="992" w:gutter="0"/>
          <w:cols w:space="720" w:num="1"/>
          <w:docGrid w:type="lines" w:linePitch="473" w:charSpace="0"/>
        </w:sectPr>
      </w:pPr>
      <w:r>
        <w:rPr>
          <w:rFonts w:hint="eastAsia" w:hAnsi="宋体" w:cs="宋体"/>
        </w:rPr>
        <w:t>七、投标人认为有必要补充说明的相关信息</w:t>
      </w:r>
    </w:p>
    <w:p>
      <w:bookmarkStart w:id="129" w:name="_Hlk42504294"/>
    </w:p>
    <w:p>
      <w:pPr>
        <w:pStyle w:val="4"/>
        <w:snapToGrid w:val="0"/>
        <w:spacing w:before="0" w:after="283" w:afterLines="60" w:line="360" w:lineRule="auto"/>
        <w:jc w:val="center"/>
        <w:rPr>
          <w:rFonts w:hAnsi="宋体"/>
          <w:sz w:val="32"/>
          <w:szCs w:val="32"/>
        </w:rPr>
      </w:pPr>
      <w:bookmarkStart w:id="130" w:name="_Toc116221029"/>
      <w:bookmarkStart w:id="131" w:name="_Toc9219"/>
      <w:r>
        <w:rPr>
          <w:rFonts w:hint="eastAsia" w:hAnsi="宋体"/>
          <w:sz w:val="32"/>
          <w:szCs w:val="32"/>
        </w:rPr>
        <w:t>第四章  招标项目服务内容及商务要求</w:t>
      </w:r>
      <w:bookmarkEnd w:id="129"/>
      <w:bookmarkEnd w:id="130"/>
      <w:bookmarkEnd w:id="131"/>
    </w:p>
    <w:p>
      <w:pPr>
        <w:pStyle w:val="5"/>
        <w:rPr>
          <w:rStyle w:val="19"/>
          <w:b w:val="0"/>
        </w:rPr>
      </w:pPr>
      <w:bookmarkStart w:id="132" w:name="_Toc14102"/>
      <w:r>
        <w:rPr>
          <w:rStyle w:val="19"/>
          <w:rFonts w:hint="eastAsia" w:eastAsia="宋体"/>
          <w:b w:val="0"/>
          <w:sz w:val="28"/>
          <w:szCs w:val="28"/>
          <w:lang w:val="en-US" w:eastAsia="zh-CN"/>
        </w:rPr>
        <w:t>一、</w:t>
      </w:r>
      <w:r>
        <w:rPr>
          <w:rStyle w:val="19"/>
          <w:rFonts w:hint="eastAsia"/>
          <w:b w:val="0"/>
          <w:sz w:val="28"/>
          <w:szCs w:val="28"/>
        </w:rPr>
        <w:t>项目概述</w:t>
      </w:r>
      <w:bookmarkEnd w:id="132"/>
    </w:p>
    <w:p>
      <w:pPr>
        <w:autoSpaceDE w:val="0"/>
        <w:autoSpaceDN w:val="0"/>
        <w:adjustRightInd w:val="0"/>
        <w:spacing w:line="380" w:lineRule="exact"/>
        <w:ind w:firstLine="420" w:firstLineChars="200"/>
        <w:rPr>
          <w:rFonts w:hAnsi="宋体"/>
          <w:sz w:val="21"/>
          <w:szCs w:val="21"/>
        </w:rPr>
      </w:pPr>
      <w:r>
        <w:rPr>
          <w:rFonts w:hint="eastAsia" w:hAnsi="宋体"/>
          <w:sz w:val="21"/>
          <w:szCs w:val="21"/>
        </w:rPr>
        <w:t>总结回顾202</w:t>
      </w:r>
      <w:r>
        <w:rPr>
          <w:rFonts w:hAnsi="宋体"/>
          <w:sz w:val="21"/>
          <w:szCs w:val="21"/>
        </w:rPr>
        <w:t>2</w:t>
      </w:r>
      <w:r>
        <w:rPr>
          <w:rFonts w:hint="eastAsia" w:hAnsi="宋体"/>
          <w:sz w:val="21"/>
          <w:szCs w:val="21"/>
        </w:rPr>
        <w:t>届毕业生就业工作，展现毕业生的就业状况以及学校202</w:t>
      </w:r>
      <w:r>
        <w:rPr>
          <w:rFonts w:hAnsi="宋体"/>
          <w:sz w:val="21"/>
          <w:szCs w:val="21"/>
        </w:rPr>
        <w:t>1</w:t>
      </w:r>
      <w:r>
        <w:rPr>
          <w:rFonts w:hint="eastAsia" w:hAnsi="宋体"/>
          <w:sz w:val="21"/>
          <w:szCs w:val="21"/>
        </w:rPr>
        <w:t>-202</w:t>
      </w:r>
      <w:r>
        <w:rPr>
          <w:rFonts w:hAnsi="宋体"/>
          <w:sz w:val="21"/>
          <w:szCs w:val="21"/>
        </w:rPr>
        <w:t>2</w:t>
      </w:r>
      <w:r>
        <w:rPr>
          <w:rFonts w:hint="eastAsia" w:hAnsi="宋体"/>
          <w:sz w:val="21"/>
          <w:szCs w:val="21"/>
        </w:rPr>
        <w:t>学年的就业工作主要情况。供应商组建第三方独立编制项目团队，完成本报告数据的数据整理、分析与研究、各指标计算，对本报告分析研究方法的科学性和客观性负责，与四川铁道职业学院共同完成本报告的撰写。</w:t>
      </w:r>
    </w:p>
    <w:p>
      <w:pPr>
        <w:pStyle w:val="5"/>
      </w:pPr>
      <w:bookmarkStart w:id="133" w:name="_Toc28154"/>
      <w:r>
        <w:rPr>
          <w:rStyle w:val="19"/>
          <w:rFonts w:hint="eastAsia" w:eastAsia="宋体"/>
          <w:b w:val="0"/>
          <w:color w:val="000000" w:themeColor="text1"/>
          <w:sz w:val="28"/>
          <w:szCs w:val="28"/>
          <w:lang w:val="en-US" w:eastAsia="zh-CN"/>
          <w14:textFill>
            <w14:solidFill>
              <w14:schemeClr w14:val="tx1"/>
            </w14:solidFill>
          </w14:textFill>
        </w:rPr>
        <w:t>二、</w:t>
      </w:r>
      <w:r>
        <w:rPr>
          <w:rStyle w:val="19"/>
          <w:rFonts w:hint="eastAsia"/>
          <w:b w:val="0"/>
          <w:color w:val="000000" w:themeColor="text1"/>
          <w:sz w:val="28"/>
          <w:szCs w:val="28"/>
          <w14:textFill>
            <w14:solidFill>
              <w14:schemeClr w14:val="tx1"/>
            </w14:solidFill>
          </w14:textFill>
        </w:rPr>
        <w:t>服务内容</w:t>
      </w:r>
      <w:bookmarkEnd w:id="133"/>
    </w:p>
    <w:tbl>
      <w:tblPr>
        <w:tblStyle w:val="16"/>
        <w:tblpPr w:leftFromText="180" w:rightFromText="180" w:vertAnchor="text" w:horzAnchor="page" w:tblpX="1343" w:tblpY="1135"/>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395"/>
        <w:gridCol w:w="4949"/>
        <w:gridCol w:w="651"/>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2" w:type="dxa"/>
            <w:vAlign w:val="center"/>
          </w:tcPr>
          <w:p>
            <w:pPr>
              <w:jc w:val="center"/>
              <w:rPr>
                <w:sz w:val="21"/>
                <w:szCs w:val="21"/>
              </w:rPr>
            </w:pPr>
            <w:r>
              <w:rPr>
                <w:rFonts w:hint="eastAsia"/>
                <w:sz w:val="21"/>
                <w:szCs w:val="21"/>
              </w:rPr>
              <w:t>序号</w:t>
            </w:r>
          </w:p>
        </w:tc>
        <w:tc>
          <w:tcPr>
            <w:tcW w:w="2395" w:type="dxa"/>
            <w:vAlign w:val="center"/>
          </w:tcPr>
          <w:p>
            <w:pPr>
              <w:jc w:val="center"/>
              <w:rPr>
                <w:sz w:val="21"/>
                <w:szCs w:val="21"/>
              </w:rPr>
            </w:pPr>
            <w:r>
              <w:rPr>
                <w:rFonts w:hint="eastAsia"/>
                <w:sz w:val="21"/>
                <w:szCs w:val="21"/>
              </w:rPr>
              <w:t>服务内容</w:t>
            </w:r>
          </w:p>
        </w:tc>
        <w:tc>
          <w:tcPr>
            <w:tcW w:w="4949" w:type="dxa"/>
            <w:vAlign w:val="center"/>
          </w:tcPr>
          <w:p>
            <w:pPr>
              <w:jc w:val="center"/>
              <w:rPr>
                <w:sz w:val="21"/>
                <w:szCs w:val="21"/>
              </w:rPr>
            </w:pPr>
            <w:r>
              <w:rPr>
                <w:rFonts w:hint="eastAsia"/>
                <w:sz w:val="21"/>
                <w:szCs w:val="21"/>
              </w:rPr>
              <w:t>要求</w:t>
            </w:r>
          </w:p>
        </w:tc>
        <w:tc>
          <w:tcPr>
            <w:tcW w:w="651" w:type="dxa"/>
            <w:vAlign w:val="center"/>
          </w:tcPr>
          <w:p>
            <w:pPr>
              <w:jc w:val="center"/>
              <w:rPr>
                <w:sz w:val="21"/>
                <w:szCs w:val="21"/>
              </w:rPr>
            </w:pPr>
            <w:r>
              <w:rPr>
                <w:rFonts w:hint="eastAsia"/>
                <w:sz w:val="21"/>
                <w:szCs w:val="21"/>
              </w:rPr>
              <w:t>数量</w:t>
            </w:r>
          </w:p>
        </w:tc>
        <w:tc>
          <w:tcPr>
            <w:tcW w:w="684" w:type="dxa"/>
            <w:vAlign w:val="center"/>
          </w:tcPr>
          <w:p>
            <w:pPr>
              <w:jc w:val="center"/>
              <w:rPr>
                <w:sz w:val="21"/>
                <w:szCs w:val="21"/>
              </w:rPr>
            </w:pPr>
            <w:r>
              <w:rPr>
                <w:rFonts w:hint="eastAsia"/>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3" w:hRule="atLeast"/>
        </w:trPr>
        <w:tc>
          <w:tcPr>
            <w:tcW w:w="882" w:type="dxa"/>
            <w:vAlign w:val="center"/>
          </w:tcPr>
          <w:p>
            <w:pPr>
              <w:jc w:val="center"/>
              <w:rPr>
                <w:sz w:val="21"/>
                <w:szCs w:val="21"/>
              </w:rPr>
            </w:pPr>
            <w:r>
              <w:rPr>
                <w:rFonts w:hint="eastAsia"/>
                <w:sz w:val="21"/>
                <w:szCs w:val="21"/>
              </w:rPr>
              <w:t>1</w:t>
            </w:r>
          </w:p>
        </w:tc>
        <w:tc>
          <w:tcPr>
            <w:tcW w:w="2395" w:type="dxa"/>
            <w:vAlign w:val="center"/>
          </w:tcPr>
          <w:p>
            <w:pPr>
              <w:jc w:val="center"/>
              <w:rPr>
                <w:sz w:val="21"/>
                <w:szCs w:val="21"/>
              </w:rPr>
            </w:pPr>
            <w:bookmarkStart w:id="134" w:name="_Hlk116136363"/>
            <w:r>
              <w:rPr>
                <w:rFonts w:hint="eastAsia"/>
                <w:sz w:val="21"/>
                <w:szCs w:val="21"/>
              </w:rPr>
              <w:t>四川铁道职业学院202</w:t>
            </w:r>
            <w:r>
              <w:rPr>
                <w:sz w:val="21"/>
                <w:szCs w:val="21"/>
              </w:rPr>
              <w:t>2</w:t>
            </w:r>
            <w:r>
              <w:rPr>
                <w:rFonts w:hint="eastAsia"/>
                <w:sz w:val="21"/>
                <w:szCs w:val="21"/>
              </w:rPr>
              <w:t>届毕业生就业质量报告（PDF、Word）</w:t>
            </w:r>
            <w:bookmarkEnd w:id="134"/>
          </w:p>
        </w:tc>
        <w:tc>
          <w:tcPr>
            <w:tcW w:w="4949" w:type="dxa"/>
            <w:vAlign w:val="center"/>
          </w:tcPr>
          <w:p>
            <w:pPr>
              <w:spacing w:line="360" w:lineRule="auto"/>
              <w:rPr>
                <w:rStyle w:val="34"/>
                <w:rFonts w:ascii="Times New Roman" w:hAnsi="Times New Roman"/>
                <w:sz w:val="21"/>
                <w:szCs w:val="21"/>
              </w:rPr>
            </w:pPr>
            <w:r>
              <w:rPr>
                <w:rStyle w:val="34"/>
                <w:rFonts w:hint="eastAsia" w:ascii="Times New Roman" w:hAnsi="Times New Roman"/>
                <w:sz w:val="21"/>
                <w:szCs w:val="21"/>
              </w:rPr>
              <w:t>本报告大纲结构包括三部分：</w:t>
            </w:r>
          </w:p>
          <w:p>
            <w:pPr>
              <w:pStyle w:val="35"/>
              <w:spacing w:line="360" w:lineRule="auto"/>
              <w:ind w:firstLine="420"/>
              <w:rPr>
                <w:rStyle w:val="34"/>
                <w:rFonts w:ascii="Times New Roman" w:hAnsi="Times New Roman" w:eastAsia="宋体" w:cs="Times New Roman"/>
                <w:color w:val="auto"/>
                <w:sz w:val="21"/>
                <w:szCs w:val="21"/>
              </w:rPr>
            </w:pPr>
            <w:r>
              <w:rPr>
                <w:rStyle w:val="34"/>
                <w:rFonts w:hint="eastAsia" w:ascii="Times New Roman" w:hAnsi="Times New Roman" w:eastAsia="宋体" w:cs="Times New Roman"/>
                <w:color w:val="auto"/>
                <w:sz w:val="21"/>
                <w:szCs w:val="21"/>
              </w:rPr>
              <w:t>第一部分为前言；</w:t>
            </w:r>
          </w:p>
          <w:p>
            <w:pPr>
              <w:pStyle w:val="35"/>
              <w:spacing w:line="360" w:lineRule="auto"/>
              <w:ind w:firstLine="420"/>
              <w:rPr>
                <w:rStyle w:val="34"/>
                <w:rFonts w:ascii="Times New Roman" w:hAnsi="Times New Roman" w:eastAsia="宋体" w:cs="Times New Roman"/>
                <w:color w:val="auto"/>
                <w:sz w:val="21"/>
                <w:szCs w:val="21"/>
              </w:rPr>
            </w:pPr>
            <w:r>
              <w:rPr>
                <w:rStyle w:val="34"/>
                <w:rFonts w:hint="eastAsia" w:ascii="Times New Roman" w:hAnsi="Times New Roman" w:eastAsia="宋体" w:cs="Times New Roman"/>
                <w:color w:val="auto"/>
                <w:sz w:val="21"/>
                <w:szCs w:val="21"/>
              </w:rPr>
              <w:t>第二部分为报告正文，包括毕业生基本情况、就业相关分析、就业主要特点、发展趋势研判等内容；报告正文目录附后</w:t>
            </w:r>
          </w:p>
          <w:p>
            <w:pPr>
              <w:pStyle w:val="35"/>
              <w:spacing w:line="360" w:lineRule="auto"/>
              <w:ind w:firstLine="420"/>
              <w:rPr>
                <w:rStyle w:val="34"/>
                <w:rFonts w:ascii="Times New Roman" w:hAnsi="Times New Roman" w:eastAsia="宋体" w:cs="Times New Roman"/>
                <w:color w:val="auto"/>
                <w:sz w:val="21"/>
                <w:szCs w:val="21"/>
              </w:rPr>
            </w:pPr>
            <w:r>
              <w:rPr>
                <w:rStyle w:val="34"/>
                <w:rFonts w:hint="eastAsia" w:ascii="Times New Roman" w:hAnsi="Times New Roman" w:eastAsia="宋体" w:cs="Times New Roman"/>
                <w:color w:val="auto"/>
                <w:sz w:val="21"/>
                <w:szCs w:val="21"/>
              </w:rPr>
              <w:t>第三部分为名词解释。</w:t>
            </w:r>
          </w:p>
          <w:p>
            <w:pPr>
              <w:spacing w:line="360" w:lineRule="auto"/>
              <w:rPr>
                <w:rStyle w:val="34"/>
                <w:rFonts w:ascii="Times New Roman" w:hAnsi="Times New Roman"/>
                <w:sz w:val="21"/>
                <w:szCs w:val="21"/>
              </w:rPr>
            </w:pPr>
          </w:p>
          <w:p>
            <w:pPr>
              <w:pStyle w:val="35"/>
              <w:spacing w:line="360" w:lineRule="auto"/>
              <w:ind w:firstLine="420"/>
              <w:rPr>
                <w:rFonts w:eastAsia="宋体"/>
                <w:color w:val="auto"/>
                <w:sz w:val="21"/>
                <w:szCs w:val="21"/>
              </w:rPr>
            </w:pPr>
            <w:r>
              <w:rPr>
                <w:rFonts w:hint="eastAsia" w:eastAsia="宋体"/>
                <w:color w:val="auto"/>
                <w:sz w:val="21"/>
                <w:szCs w:val="21"/>
              </w:rPr>
              <w:t>关于数据</w:t>
            </w:r>
          </w:p>
          <w:p>
            <w:pPr>
              <w:pStyle w:val="35"/>
              <w:spacing w:line="360" w:lineRule="auto"/>
              <w:ind w:firstLine="420"/>
              <w:rPr>
                <w:rFonts w:eastAsia="宋体"/>
                <w:sz w:val="21"/>
                <w:szCs w:val="21"/>
              </w:rPr>
            </w:pPr>
            <w:r>
              <w:rPr>
                <w:rFonts w:hint="eastAsia" w:eastAsia="宋体"/>
                <w:color w:val="auto"/>
                <w:sz w:val="21"/>
                <w:szCs w:val="21"/>
              </w:rPr>
              <w:t>本报告主要数据来源于四川铁道职业学院上报教育部的202</w:t>
            </w:r>
            <w:r>
              <w:rPr>
                <w:rFonts w:eastAsia="宋体"/>
                <w:color w:val="auto"/>
                <w:sz w:val="21"/>
                <w:szCs w:val="21"/>
              </w:rPr>
              <w:t>2</w:t>
            </w:r>
            <w:r>
              <w:rPr>
                <w:rFonts w:hint="eastAsia" w:eastAsia="宋体"/>
                <w:color w:val="auto"/>
                <w:sz w:val="21"/>
                <w:szCs w:val="21"/>
              </w:rPr>
              <w:t>届全体毕业生初次就业数据（截止202</w:t>
            </w:r>
            <w:r>
              <w:rPr>
                <w:rFonts w:eastAsia="宋体"/>
                <w:color w:val="auto"/>
                <w:sz w:val="21"/>
                <w:szCs w:val="21"/>
              </w:rPr>
              <w:t>2</w:t>
            </w:r>
            <w:r>
              <w:rPr>
                <w:rFonts w:hint="eastAsia" w:eastAsia="宋体"/>
                <w:color w:val="auto"/>
                <w:sz w:val="21"/>
                <w:szCs w:val="21"/>
              </w:rPr>
              <w:t>年</w:t>
            </w:r>
            <w:r>
              <w:rPr>
                <w:rFonts w:eastAsia="宋体"/>
                <w:color w:val="auto"/>
                <w:sz w:val="21"/>
                <w:szCs w:val="21"/>
              </w:rPr>
              <w:t>8</w:t>
            </w:r>
            <w:r>
              <w:rPr>
                <w:rFonts w:hint="eastAsia" w:eastAsia="宋体"/>
                <w:color w:val="auto"/>
                <w:sz w:val="21"/>
                <w:szCs w:val="21"/>
              </w:rPr>
              <w:t>月31日），还需供应商对毕业生进行关于对学校总体反馈、教育教育及就业服务，和用人单位对毕业生评价等方面进行调研调查，形成本项目综合数据。</w:t>
            </w:r>
          </w:p>
        </w:tc>
        <w:tc>
          <w:tcPr>
            <w:tcW w:w="651" w:type="dxa"/>
            <w:vAlign w:val="center"/>
          </w:tcPr>
          <w:p>
            <w:pPr>
              <w:jc w:val="center"/>
              <w:rPr>
                <w:sz w:val="21"/>
                <w:szCs w:val="21"/>
              </w:rPr>
            </w:pPr>
            <w:r>
              <w:rPr>
                <w:sz w:val="21"/>
                <w:szCs w:val="21"/>
              </w:rPr>
              <w:t>1</w:t>
            </w:r>
          </w:p>
        </w:tc>
        <w:tc>
          <w:tcPr>
            <w:tcW w:w="684" w:type="dxa"/>
            <w:vAlign w:val="center"/>
          </w:tcPr>
          <w:p>
            <w:pPr>
              <w:jc w:val="center"/>
              <w:rPr>
                <w:sz w:val="21"/>
                <w:szCs w:val="21"/>
              </w:rPr>
            </w:pPr>
            <w:r>
              <w:rPr>
                <w:rFonts w:hint="eastAsia"/>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82" w:type="dxa"/>
            <w:vAlign w:val="center"/>
          </w:tcPr>
          <w:p>
            <w:pPr>
              <w:jc w:val="center"/>
              <w:rPr>
                <w:sz w:val="21"/>
                <w:szCs w:val="21"/>
              </w:rPr>
            </w:pPr>
            <w:r>
              <w:rPr>
                <w:rFonts w:hint="eastAsia"/>
                <w:sz w:val="21"/>
                <w:szCs w:val="21"/>
              </w:rPr>
              <w:t>2</w:t>
            </w:r>
          </w:p>
        </w:tc>
        <w:tc>
          <w:tcPr>
            <w:tcW w:w="2395" w:type="dxa"/>
            <w:vAlign w:val="center"/>
          </w:tcPr>
          <w:p>
            <w:pPr>
              <w:jc w:val="center"/>
              <w:rPr>
                <w:sz w:val="21"/>
                <w:szCs w:val="21"/>
              </w:rPr>
            </w:pPr>
            <w:bookmarkStart w:id="135" w:name="_Hlk116136393"/>
            <w:r>
              <w:rPr>
                <w:rFonts w:hint="eastAsia"/>
                <w:sz w:val="21"/>
                <w:szCs w:val="21"/>
              </w:rPr>
              <w:t>四川铁道职业学院202</w:t>
            </w:r>
            <w:r>
              <w:rPr>
                <w:sz w:val="21"/>
                <w:szCs w:val="21"/>
              </w:rPr>
              <w:t>2</w:t>
            </w:r>
            <w:r>
              <w:rPr>
                <w:rFonts w:hint="eastAsia"/>
                <w:sz w:val="21"/>
                <w:szCs w:val="21"/>
              </w:rPr>
              <w:t>届毕业生就业质量报告（纸质版）</w:t>
            </w:r>
            <w:bookmarkEnd w:id="135"/>
          </w:p>
        </w:tc>
        <w:tc>
          <w:tcPr>
            <w:tcW w:w="4949" w:type="dxa"/>
            <w:vAlign w:val="center"/>
          </w:tcPr>
          <w:p>
            <w:pPr>
              <w:jc w:val="center"/>
              <w:rPr>
                <w:sz w:val="21"/>
                <w:szCs w:val="21"/>
              </w:rPr>
            </w:pPr>
            <w:r>
              <w:rPr>
                <w:rFonts w:hint="eastAsia"/>
                <w:sz w:val="21"/>
                <w:szCs w:val="21"/>
              </w:rPr>
              <w:t>技术要求同上，</w:t>
            </w:r>
            <w:r>
              <w:rPr>
                <w:rFonts w:hAnsi="宋体" w:cs="宋体"/>
                <w:sz w:val="21"/>
                <w:szCs w:val="21"/>
              </w:rPr>
              <w:t>封面</w:t>
            </w:r>
            <w:r>
              <w:rPr>
                <w:rFonts w:hint="eastAsia" w:cs="宋体"/>
                <w:sz w:val="21"/>
                <w:szCs w:val="21"/>
              </w:rPr>
              <w:t>：</w:t>
            </w:r>
            <w:r>
              <w:rPr>
                <w:rFonts w:hAnsi="宋体" w:cs="宋体"/>
                <w:sz w:val="21"/>
                <w:szCs w:val="21"/>
              </w:rPr>
              <w:t>250g亚粉纸张</w:t>
            </w:r>
            <w:r>
              <w:rPr>
                <w:rFonts w:hint="eastAsia" w:cs="宋体"/>
                <w:sz w:val="21"/>
                <w:szCs w:val="21"/>
              </w:rPr>
              <w:t>，</w:t>
            </w:r>
            <w:r>
              <w:rPr>
                <w:rFonts w:hAnsi="宋体" w:cs="宋体"/>
                <w:sz w:val="21"/>
                <w:szCs w:val="21"/>
              </w:rPr>
              <w:t>内页：80g双胶纸</w:t>
            </w:r>
            <w:r>
              <w:rPr>
                <w:rFonts w:hint="eastAsia" w:cs="宋体"/>
                <w:sz w:val="21"/>
                <w:szCs w:val="21"/>
              </w:rPr>
              <w:t>，</w:t>
            </w:r>
            <w:r>
              <w:rPr>
                <w:rFonts w:hAnsi="宋体" w:cs="宋体"/>
                <w:sz w:val="21"/>
                <w:szCs w:val="21"/>
              </w:rPr>
              <w:t>宽210*高285mm</w:t>
            </w:r>
            <w:r>
              <w:rPr>
                <w:rFonts w:hint="eastAsia" w:cs="宋体"/>
                <w:sz w:val="21"/>
                <w:szCs w:val="21"/>
              </w:rPr>
              <w:t>，</w:t>
            </w:r>
            <w:r>
              <w:rPr>
                <w:rFonts w:hAnsi="宋体" w:cs="宋体"/>
                <w:sz w:val="21"/>
                <w:szCs w:val="21"/>
              </w:rPr>
              <w:t>装订方式：胶装</w:t>
            </w:r>
            <w:r>
              <w:rPr>
                <w:rFonts w:hint="eastAsia" w:cs="宋体"/>
                <w:sz w:val="21"/>
                <w:szCs w:val="21"/>
              </w:rPr>
              <w:t>。</w:t>
            </w:r>
          </w:p>
        </w:tc>
        <w:tc>
          <w:tcPr>
            <w:tcW w:w="651" w:type="dxa"/>
            <w:vAlign w:val="center"/>
          </w:tcPr>
          <w:p>
            <w:pPr>
              <w:jc w:val="center"/>
              <w:rPr>
                <w:sz w:val="21"/>
                <w:szCs w:val="21"/>
              </w:rPr>
            </w:pPr>
            <w:r>
              <w:rPr>
                <w:rFonts w:hint="eastAsia"/>
                <w:sz w:val="21"/>
                <w:szCs w:val="21"/>
              </w:rPr>
              <w:t>10</w:t>
            </w:r>
          </w:p>
        </w:tc>
        <w:tc>
          <w:tcPr>
            <w:tcW w:w="684" w:type="dxa"/>
            <w:vAlign w:val="center"/>
          </w:tcPr>
          <w:p>
            <w:pPr>
              <w:jc w:val="center"/>
              <w:rPr>
                <w:sz w:val="21"/>
                <w:szCs w:val="21"/>
              </w:rPr>
            </w:pPr>
            <w:r>
              <w:rPr>
                <w:rFonts w:hint="eastAsia"/>
                <w:sz w:val="21"/>
                <w:szCs w:val="21"/>
              </w:rPr>
              <w:t>册</w:t>
            </w:r>
          </w:p>
        </w:tc>
      </w:tr>
    </w:tbl>
    <w:p>
      <w:pPr>
        <w:spacing w:line="500" w:lineRule="exact"/>
        <w:rPr>
          <w:rFonts w:ascii="仿宋" w:hAnsi="仿宋"/>
          <w:b/>
          <w:bCs/>
          <w:color w:val="000000"/>
        </w:rPr>
      </w:pPr>
      <w:r>
        <w:rPr>
          <w:rFonts w:hint="eastAsia"/>
          <w:b/>
          <w:sz w:val="32"/>
          <w:szCs w:val="32"/>
        </w:rPr>
        <w:t>附：</w:t>
      </w:r>
      <w:r>
        <w:rPr>
          <w:rFonts w:hint="eastAsia" w:ascii="仿宋" w:hAnsi="仿宋"/>
          <w:b/>
          <w:bCs/>
          <w:color w:val="000000"/>
        </w:rPr>
        <w:t>报告正文目录</w:t>
      </w:r>
    </w:p>
    <w:p>
      <w:pPr>
        <w:spacing w:line="360" w:lineRule="exact"/>
        <w:rPr>
          <w:rFonts w:hAnsi="宋体" w:cs="宋体"/>
          <w:sz w:val="21"/>
          <w:szCs w:val="21"/>
        </w:rPr>
      </w:pPr>
      <w:r>
        <w:rPr>
          <w:rFonts w:hAnsi="宋体" w:cs="宋体"/>
          <w:b/>
          <w:bCs/>
          <w:sz w:val="21"/>
          <w:szCs w:val="21"/>
        </w:rPr>
        <w:t xml:space="preserve">第一章 </w:t>
      </w:r>
      <w:r>
        <w:rPr>
          <w:rFonts w:hint="eastAsia" w:hAnsi="宋体" w:cs="宋体"/>
          <w:b/>
          <w:bCs/>
          <w:sz w:val="21"/>
          <w:szCs w:val="21"/>
        </w:rPr>
        <w:t>毕业生</w:t>
      </w:r>
      <w:r>
        <w:rPr>
          <w:rFonts w:hAnsi="宋体" w:cs="宋体"/>
          <w:b/>
          <w:bCs/>
          <w:sz w:val="21"/>
          <w:szCs w:val="21"/>
        </w:rPr>
        <w:t>基本情况</w:t>
      </w:r>
      <w:r>
        <w:rPr>
          <w:rFonts w:hAnsi="宋体" w:cs="宋体"/>
          <w:sz w:val="21"/>
          <w:szCs w:val="21"/>
        </w:rPr>
        <w:br w:type="textWrapping"/>
      </w:r>
      <w:r>
        <w:rPr>
          <w:rFonts w:hAnsi="宋体" w:cs="宋体"/>
          <w:sz w:val="21"/>
          <w:szCs w:val="21"/>
        </w:rPr>
        <w:t>一 毕业生规模与结构</w:t>
      </w:r>
      <w:r>
        <w:rPr>
          <w:rFonts w:hAnsi="宋体" w:cs="宋体"/>
          <w:sz w:val="21"/>
          <w:szCs w:val="21"/>
        </w:rPr>
        <w:br w:type="textWrapping"/>
      </w:r>
      <w:r>
        <w:rPr>
          <w:rFonts w:hAnsi="宋体" w:cs="宋体"/>
          <w:sz w:val="21"/>
          <w:szCs w:val="21"/>
        </w:rPr>
        <w:t>1毕业生规模</w:t>
      </w:r>
      <w:r>
        <w:rPr>
          <w:rFonts w:hAnsi="宋体" w:cs="宋体"/>
          <w:sz w:val="21"/>
          <w:szCs w:val="21"/>
        </w:rPr>
        <w:br w:type="textWrapping"/>
      </w:r>
      <w:r>
        <w:rPr>
          <w:rFonts w:hAnsi="宋体" w:cs="宋体"/>
          <w:sz w:val="21"/>
          <w:szCs w:val="21"/>
        </w:rPr>
        <w:t>2性别结构</w:t>
      </w:r>
      <w:r>
        <w:rPr>
          <w:rFonts w:hAnsi="宋体" w:cs="宋体"/>
          <w:sz w:val="21"/>
          <w:szCs w:val="21"/>
        </w:rPr>
        <w:br w:type="textWrapping"/>
      </w:r>
      <w:r>
        <w:rPr>
          <w:rFonts w:hAnsi="宋体" w:cs="宋体"/>
          <w:sz w:val="21"/>
          <w:szCs w:val="21"/>
        </w:rPr>
        <w:t>3民族结构</w:t>
      </w:r>
      <w:r>
        <w:rPr>
          <w:rFonts w:hAnsi="宋体" w:cs="宋体"/>
          <w:sz w:val="21"/>
          <w:szCs w:val="21"/>
        </w:rPr>
        <w:br w:type="textWrapping"/>
      </w:r>
      <w:r>
        <w:rPr>
          <w:rFonts w:hAnsi="宋体" w:cs="宋体"/>
          <w:sz w:val="21"/>
          <w:szCs w:val="21"/>
        </w:rPr>
        <w:t>4困难生结构</w:t>
      </w:r>
      <w:r>
        <w:rPr>
          <w:rFonts w:hAnsi="宋体" w:cs="宋体"/>
          <w:sz w:val="21"/>
          <w:szCs w:val="21"/>
        </w:rPr>
        <w:br w:type="textWrapping"/>
      </w:r>
      <w:r>
        <w:rPr>
          <w:rFonts w:hAnsi="宋体" w:cs="宋体"/>
          <w:sz w:val="21"/>
          <w:szCs w:val="21"/>
        </w:rPr>
        <w:t>5政治面貌结构</w:t>
      </w:r>
      <w:r>
        <w:rPr>
          <w:rFonts w:hAnsi="宋体" w:cs="宋体"/>
          <w:sz w:val="21"/>
          <w:szCs w:val="21"/>
        </w:rPr>
        <w:br w:type="textWrapping"/>
      </w:r>
      <w:r>
        <w:rPr>
          <w:rFonts w:hAnsi="宋体" w:cs="宋体"/>
          <w:sz w:val="21"/>
          <w:szCs w:val="21"/>
        </w:rPr>
        <w:t>6毕业生院系与专业结构</w:t>
      </w:r>
      <w:r>
        <w:rPr>
          <w:rFonts w:hAnsi="宋体" w:cs="宋体"/>
          <w:sz w:val="21"/>
          <w:szCs w:val="21"/>
        </w:rPr>
        <w:br w:type="textWrapping"/>
      </w:r>
      <w:r>
        <w:rPr>
          <w:rFonts w:hAnsi="宋体" w:cs="宋体"/>
          <w:sz w:val="21"/>
          <w:szCs w:val="21"/>
        </w:rPr>
        <w:t>7生源地分布</w:t>
      </w:r>
      <w:r>
        <w:rPr>
          <w:rFonts w:hAnsi="宋体" w:cs="宋体"/>
          <w:sz w:val="21"/>
          <w:szCs w:val="21"/>
        </w:rPr>
        <w:br w:type="textWrapping"/>
      </w:r>
      <w:r>
        <w:rPr>
          <w:rFonts w:hAnsi="宋体" w:cs="宋体"/>
          <w:sz w:val="21"/>
          <w:szCs w:val="21"/>
        </w:rPr>
        <w:t>二 毕业生就业率</w:t>
      </w:r>
      <w:r>
        <w:rPr>
          <w:rFonts w:hAnsi="宋体" w:cs="宋体"/>
          <w:sz w:val="21"/>
          <w:szCs w:val="21"/>
        </w:rPr>
        <w:br w:type="textWrapping"/>
      </w:r>
      <w:r>
        <w:rPr>
          <w:rFonts w:hAnsi="宋体" w:cs="宋体"/>
          <w:sz w:val="21"/>
          <w:szCs w:val="21"/>
        </w:rPr>
        <w:t>1毕业生就业率</w:t>
      </w:r>
      <w:r>
        <w:rPr>
          <w:rFonts w:hAnsi="宋体" w:cs="宋体"/>
          <w:sz w:val="21"/>
          <w:szCs w:val="21"/>
        </w:rPr>
        <w:br w:type="textWrapping"/>
      </w:r>
      <w:r>
        <w:rPr>
          <w:rFonts w:hAnsi="宋体" w:cs="宋体"/>
          <w:sz w:val="21"/>
          <w:szCs w:val="21"/>
        </w:rPr>
        <w:t>2分专业就业率</w:t>
      </w:r>
      <w:r>
        <w:rPr>
          <w:rFonts w:hAnsi="宋体" w:cs="宋体"/>
          <w:sz w:val="21"/>
          <w:szCs w:val="21"/>
        </w:rPr>
        <w:br w:type="textWrapping"/>
      </w:r>
      <w:r>
        <w:rPr>
          <w:rFonts w:hAnsi="宋体" w:cs="宋体"/>
          <w:sz w:val="21"/>
          <w:szCs w:val="21"/>
        </w:rPr>
        <w:t>三</w:t>
      </w:r>
      <w:r>
        <w:rPr>
          <w:rFonts w:hint="eastAsia" w:hAnsi="宋体" w:cs="宋体"/>
          <w:sz w:val="21"/>
          <w:szCs w:val="21"/>
        </w:rPr>
        <w:t xml:space="preserve"> </w:t>
      </w:r>
      <w:r>
        <w:rPr>
          <w:rFonts w:hAnsi="宋体" w:cs="宋体"/>
          <w:sz w:val="21"/>
          <w:szCs w:val="21"/>
        </w:rPr>
        <w:t>就业结构</w:t>
      </w:r>
      <w:r>
        <w:rPr>
          <w:rFonts w:hAnsi="宋体" w:cs="宋体"/>
          <w:sz w:val="21"/>
          <w:szCs w:val="21"/>
        </w:rPr>
        <w:br w:type="textWrapping"/>
      </w:r>
      <w:r>
        <w:rPr>
          <w:rFonts w:hAnsi="宋体" w:cs="宋体"/>
          <w:sz w:val="21"/>
          <w:szCs w:val="21"/>
        </w:rPr>
        <w:t>1毕业去向分布</w:t>
      </w:r>
      <w:r>
        <w:rPr>
          <w:rFonts w:hAnsi="宋体" w:cs="宋体"/>
          <w:sz w:val="21"/>
          <w:szCs w:val="21"/>
        </w:rPr>
        <w:br w:type="textWrapping"/>
      </w:r>
      <w:r>
        <w:rPr>
          <w:rFonts w:hAnsi="宋体" w:cs="宋体"/>
          <w:sz w:val="21"/>
          <w:szCs w:val="21"/>
        </w:rPr>
        <w:t>2就业地域流向</w:t>
      </w:r>
      <w:r>
        <w:rPr>
          <w:rFonts w:hAnsi="宋体" w:cs="宋体"/>
          <w:sz w:val="21"/>
          <w:szCs w:val="21"/>
        </w:rPr>
        <w:br w:type="textWrapping"/>
      </w:r>
      <w:r>
        <w:rPr>
          <w:rFonts w:hAnsi="宋体" w:cs="宋体"/>
          <w:sz w:val="21"/>
          <w:szCs w:val="21"/>
        </w:rPr>
        <w:t>3就业行业流向</w:t>
      </w:r>
      <w:r>
        <w:rPr>
          <w:rFonts w:hAnsi="宋体" w:cs="宋体"/>
          <w:sz w:val="21"/>
          <w:szCs w:val="21"/>
        </w:rPr>
        <w:br w:type="textWrapping"/>
      </w:r>
      <w:r>
        <w:rPr>
          <w:rFonts w:hAnsi="宋体" w:cs="宋体"/>
          <w:sz w:val="21"/>
          <w:szCs w:val="21"/>
        </w:rPr>
        <w:t>4就业单位性质分布</w:t>
      </w:r>
      <w:r>
        <w:rPr>
          <w:rFonts w:hAnsi="宋体" w:cs="宋体"/>
          <w:sz w:val="21"/>
          <w:szCs w:val="21"/>
        </w:rPr>
        <w:br w:type="textWrapping"/>
      </w:r>
      <w:r>
        <w:rPr>
          <w:rFonts w:hAnsi="宋体" w:cs="宋体"/>
          <w:sz w:val="21"/>
          <w:szCs w:val="21"/>
        </w:rPr>
        <w:t>5就业职位流向</w:t>
      </w:r>
      <w:r>
        <w:rPr>
          <w:rFonts w:hAnsi="宋体" w:cs="宋体"/>
          <w:sz w:val="21"/>
          <w:szCs w:val="21"/>
        </w:rPr>
        <w:br w:type="textWrapping"/>
      </w:r>
      <w:r>
        <w:rPr>
          <w:rFonts w:hAnsi="宋体" w:cs="宋体"/>
          <w:b/>
          <w:bCs/>
          <w:sz w:val="21"/>
          <w:szCs w:val="21"/>
        </w:rPr>
        <w:t>第二章 就业相关分析</w:t>
      </w:r>
      <w:r>
        <w:rPr>
          <w:rFonts w:hAnsi="宋体" w:cs="宋体"/>
          <w:sz w:val="21"/>
          <w:szCs w:val="21"/>
        </w:rPr>
        <w:br w:type="textWrapping"/>
      </w:r>
      <w:r>
        <w:rPr>
          <w:rFonts w:hAnsi="宋体" w:cs="宋体"/>
          <w:sz w:val="21"/>
          <w:szCs w:val="21"/>
        </w:rPr>
        <w:t>一</w:t>
      </w:r>
      <w:r>
        <w:rPr>
          <w:rFonts w:hint="eastAsia" w:hAnsi="宋体" w:cs="宋体"/>
          <w:sz w:val="21"/>
          <w:szCs w:val="21"/>
        </w:rPr>
        <w:t xml:space="preserve"> </w:t>
      </w:r>
      <w:r>
        <w:rPr>
          <w:rFonts w:hAnsi="宋体" w:cs="宋体"/>
          <w:sz w:val="21"/>
          <w:szCs w:val="21"/>
        </w:rPr>
        <w:t>就业结构分析</w:t>
      </w:r>
      <w:r>
        <w:rPr>
          <w:rFonts w:hAnsi="宋体" w:cs="宋体"/>
          <w:sz w:val="21"/>
          <w:szCs w:val="21"/>
        </w:rPr>
        <w:br w:type="textWrapping"/>
      </w:r>
      <w:r>
        <w:rPr>
          <w:rFonts w:hAnsi="宋体" w:cs="宋体"/>
          <w:sz w:val="21"/>
          <w:szCs w:val="21"/>
        </w:rPr>
        <w:t>二</w:t>
      </w:r>
      <w:r>
        <w:rPr>
          <w:rFonts w:hint="eastAsia" w:hAnsi="宋体" w:cs="宋体"/>
          <w:sz w:val="21"/>
          <w:szCs w:val="21"/>
        </w:rPr>
        <w:t xml:space="preserve"> </w:t>
      </w:r>
      <w:r>
        <w:rPr>
          <w:rFonts w:hAnsi="宋体" w:cs="宋体"/>
          <w:sz w:val="21"/>
          <w:szCs w:val="21"/>
        </w:rPr>
        <w:t>就业质量分析</w:t>
      </w:r>
      <w:r>
        <w:rPr>
          <w:rFonts w:hAnsi="宋体" w:cs="宋体"/>
          <w:sz w:val="21"/>
          <w:szCs w:val="21"/>
        </w:rPr>
        <w:br w:type="textWrapping"/>
      </w:r>
      <w:r>
        <w:rPr>
          <w:rFonts w:hAnsi="宋体" w:cs="宋体"/>
          <w:sz w:val="21"/>
          <w:szCs w:val="21"/>
        </w:rPr>
        <w:t>1就业现状满意度</w:t>
      </w:r>
      <w:r>
        <w:rPr>
          <w:rFonts w:hAnsi="宋体" w:cs="宋体"/>
          <w:sz w:val="21"/>
          <w:szCs w:val="21"/>
        </w:rPr>
        <w:br w:type="textWrapping"/>
      </w:r>
      <w:r>
        <w:rPr>
          <w:rFonts w:hAnsi="宋体" w:cs="宋体"/>
          <w:sz w:val="21"/>
          <w:szCs w:val="21"/>
        </w:rPr>
        <w:t>2职业期待吻合度</w:t>
      </w:r>
      <w:r>
        <w:rPr>
          <w:rFonts w:hAnsi="宋体" w:cs="宋体"/>
          <w:sz w:val="21"/>
          <w:szCs w:val="21"/>
        </w:rPr>
        <w:br w:type="textWrapping"/>
      </w:r>
      <w:r>
        <w:rPr>
          <w:rFonts w:hAnsi="宋体" w:cs="宋体"/>
          <w:sz w:val="21"/>
          <w:szCs w:val="21"/>
        </w:rPr>
        <w:t>3专业相关度</w:t>
      </w:r>
      <w:r>
        <w:rPr>
          <w:rFonts w:hAnsi="宋体" w:cs="宋体"/>
          <w:sz w:val="21"/>
          <w:szCs w:val="21"/>
        </w:rPr>
        <w:br w:type="textWrapping"/>
      </w:r>
      <w:r>
        <w:rPr>
          <w:rFonts w:hAnsi="宋体" w:cs="宋体"/>
          <w:sz w:val="21"/>
          <w:szCs w:val="21"/>
        </w:rPr>
        <w:t>4月收入分析</w:t>
      </w:r>
      <w:r>
        <w:rPr>
          <w:rFonts w:hAnsi="宋体" w:cs="宋体"/>
          <w:sz w:val="21"/>
          <w:szCs w:val="21"/>
        </w:rPr>
        <w:br w:type="textWrapping"/>
      </w:r>
      <w:r>
        <w:rPr>
          <w:rFonts w:hAnsi="宋体" w:cs="宋体"/>
          <w:sz w:val="21"/>
          <w:szCs w:val="21"/>
        </w:rPr>
        <w:t>5岗位变动与离职情况</w:t>
      </w:r>
      <w:r>
        <w:rPr>
          <w:rFonts w:hAnsi="宋体" w:cs="宋体"/>
          <w:sz w:val="21"/>
          <w:szCs w:val="21"/>
        </w:rPr>
        <w:br w:type="textWrapping"/>
      </w:r>
      <w:r>
        <w:rPr>
          <w:rFonts w:hAnsi="宋体" w:cs="宋体"/>
          <w:sz w:val="21"/>
          <w:szCs w:val="21"/>
        </w:rPr>
        <w:t>6就业单位规模</w:t>
      </w:r>
      <w:r>
        <w:rPr>
          <w:rFonts w:hAnsi="宋体" w:cs="宋体"/>
          <w:sz w:val="21"/>
          <w:szCs w:val="21"/>
        </w:rPr>
        <w:br w:type="textWrapping"/>
      </w:r>
      <w:r>
        <w:rPr>
          <w:rFonts w:hAnsi="宋体" w:cs="宋体"/>
          <w:sz w:val="21"/>
          <w:szCs w:val="21"/>
        </w:rPr>
        <w:t>7对就业单位的满意度</w:t>
      </w:r>
      <w:r>
        <w:rPr>
          <w:rFonts w:hAnsi="宋体" w:cs="宋体"/>
          <w:sz w:val="21"/>
          <w:szCs w:val="21"/>
        </w:rPr>
        <w:br w:type="textWrapping"/>
      </w:r>
      <w:r>
        <w:rPr>
          <w:rFonts w:hAnsi="宋体" w:cs="宋体"/>
          <w:sz w:val="21"/>
          <w:szCs w:val="21"/>
        </w:rPr>
        <w:t>三 就业对教育教学的反馈</w:t>
      </w:r>
      <w:r>
        <w:rPr>
          <w:rFonts w:hAnsi="宋体" w:cs="宋体"/>
          <w:sz w:val="21"/>
          <w:szCs w:val="21"/>
        </w:rPr>
        <w:br w:type="textWrapping"/>
      </w:r>
      <w:r>
        <w:rPr>
          <w:rFonts w:hAnsi="宋体" w:cs="宋体"/>
          <w:sz w:val="21"/>
          <w:szCs w:val="21"/>
        </w:rPr>
        <w:t>（一）毕业生对学校的反馈</w:t>
      </w:r>
      <w:r>
        <w:rPr>
          <w:rFonts w:hAnsi="宋体" w:cs="宋体"/>
          <w:sz w:val="21"/>
          <w:szCs w:val="21"/>
        </w:rPr>
        <w:br w:type="textWrapping"/>
      </w:r>
      <w:r>
        <w:rPr>
          <w:rFonts w:hAnsi="宋体" w:cs="宋体"/>
          <w:sz w:val="21"/>
          <w:szCs w:val="21"/>
        </w:rPr>
        <w:t>1毕业生对学校的总体评价</w:t>
      </w:r>
      <w:r>
        <w:rPr>
          <w:rFonts w:hAnsi="宋体" w:cs="宋体"/>
          <w:sz w:val="21"/>
          <w:szCs w:val="21"/>
        </w:rPr>
        <w:br w:type="textWrapping"/>
      </w:r>
      <w:r>
        <w:rPr>
          <w:rFonts w:hAnsi="宋体" w:cs="宋体"/>
          <w:sz w:val="21"/>
          <w:szCs w:val="21"/>
        </w:rPr>
        <w:t>2毕业生对学生工作的满意度</w:t>
      </w:r>
      <w:r>
        <w:rPr>
          <w:rFonts w:hAnsi="宋体" w:cs="宋体"/>
          <w:sz w:val="21"/>
          <w:szCs w:val="21"/>
        </w:rPr>
        <w:br w:type="textWrapping"/>
      </w:r>
      <w:r>
        <w:rPr>
          <w:rFonts w:hAnsi="宋体" w:cs="宋体"/>
          <w:sz w:val="21"/>
          <w:szCs w:val="21"/>
        </w:rPr>
        <w:t>3毕业生对生活服务的满意度</w:t>
      </w:r>
      <w:r>
        <w:rPr>
          <w:rFonts w:hAnsi="宋体" w:cs="宋体"/>
          <w:sz w:val="21"/>
          <w:szCs w:val="21"/>
        </w:rPr>
        <w:br w:type="textWrapping"/>
      </w:r>
      <w:r>
        <w:rPr>
          <w:rFonts w:hAnsi="宋体" w:cs="宋体"/>
          <w:sz w:val="21"/>
          <w:szCs w:val="21"/>
        </w:rPr>
        <w:t>4毕业生对教学工作的满意度</w:t>
      </w:r>
      <w:r>
        <w:rPr>
          <w:rFonts w:hAnsi="宋体" w:cs="宋体"/>
          <w:sz w:val="21"/>
          <w:szCs w:val="21"/>
        </w:rPr>
        <w:br w:type="textWrapping"/>
      </w:r>
      <w:r>
        <w:rPr>
          <w:rFonts w:hAnsi="宋体" w:cs="宋体"/>
          <w:sz w:val="21"/>
          <w:szCs w:val="21"/>
        </w:rPr>
        <w:t>（二）毕业生对教育教学的评价与反馈</w:t>
      </w:r>
      <w:r>
        <w:rPr>
          <w:rFonts w:hAnsi="宋体" w:cs="宋体"/>
          <w:sz w:val="21"/>
          <w:szCs w:val="21"/>
        </w:rPr>
        <w:br w:type="textWrapping"/>
      </w:r>
      <w:r>
        <w:rPr>
          <w:rFonts w:hAnsi="宋体" w:cs="宋体"/>
          <w:sz w:val="21"/>
          <w:szCs w:val="21"/>
        </w:rPr>
        <w:t>5毕业生对教务工作、环境与条件、实践环节的评价</w:t>
      </w:r>
      <w:r>
        <w:rPr>
          <w:rFonts w:hAnsi="宋体" w:cs="宋体"/>
          <w:sz w:val="21"/>
          <w:szCs w:val="21"/>
        </w:rPr>
        <w:br w:type="textWrapping"/>
      </w:r>
      <w:r>
        <w:rPr>
          <w:rFonts w:hAnsi="宋体" w:cs="宋体"/>
          <w:sz w:val="21"/>
          <w:szCs w:val="21"/>
        </w:rPr>
        <w:t>6毕业生对教师教学能力的评价</w:t>
      </w:r>
      <w:r>
        <w:rPr>
          <w:rFonts w:hAnsi="宋体" w:cs="宋体"/>
          <w:sz w:val="21"/>
          <w:szCs w:val="21"/>
        </w:rPr>
        <w:br w:type="textWrapping"/>
      </w:r>
      <w:r>
        <w:rPr>
          <w:rFonts w:hAnsi="宋体" w:cs="宋体"/>
          <w:sz w:val="21"/>
          <w:szCs w:val="21"/>
        </w:rPr>
        <w:t>7毕业生对专业核心课程的反馈</w:t>
      </w:r>
      <w:r>
        <w:rPr>
          <w:rFonts w:hAnsi="宋体" w:cs="宋体"/>
          <w:sz w:val="21"/>
          <w:szCs w:val="21"/>
        </w:rPr>
        <w:br w:type="textWrapping"/>
      </w:r>
      <w:r>
        <w:rPr>
          <w:rFonts w:hAnsi="宋体" w:cs="宋体"/>
          <w:sz w:val="21"/>
          <w:szCs w:val="21"/>
        </w:rPr>
        <w:t>8毕业生希望教学工作改进的地方</w:t>
      </w:r>
      <w:r>
        <w:rPr>
          <w:rFonts w:hAnsi="宋体" w:cs="宋体"/>
          <w:sz w:val="21"/>
          <w:szCs w:val="21"/>
        </w:rPr>
        <w:br w:type="textWrapping"/>
      </w:r>
      <w:r>
        <w:rPr>
          <w:rFonts w:hAnsi="宋体" w:cs="宋体"/>
          <w:sz w:val="21"/>
          <w:szCs w:val="21"/>
        </w:rPr>
        <w:t>（三）毕业生创新创业教育反馈</w:t>
      </w:r>
      <w:r>
        <w:rPr>
          <w:rFonts w:hAnsi="宋体" w:cs="宋体"/>
          <w:sz w:val="21"/>
          <w:szCs w:val="21"/>
        </w:rPr>
        <w:br w:type="textWrapping"/>
      </w:r>
      <w:r>
        <w:rPr>
          <w:rFonts w:hAnsi="宋体" w:cs="宋体"/>
          <w:sz w:val="21"/>
          <w:szCs w:val="21"/>
        </w:rPr>
        <w:t>9毕业生对学校创新创业教育满意度与有效性</w:t>
      </w:r>
      <w:r>
        <w:rPr>
          <w:rFonts w:hAnsi="宋体" w:cs="宋体"/>
          <w:sz w:val="21"/>
          <w:szCs w:val="21"/>
        </w:rPr>
        <w:br w:type="textWrapping"/>
      </w:r>
      <w:r>
        <w:rPr>
          <w:rFonts w:hAnsi="宋体" w:cs="宋体"/>
          <w:sz w:val="21"/>
          <w:szCs w:val="21"/>
        </w:rPr>
        <w:t>10学校创新创业教育与帮助类型分布</w:t>
      </w:r>
      <w:r>
        <w:rPr>
          <w:rFonts w:hAnsi="宋体" w:cs="宋体"/>
          <w:sz w:val="21"/>
          <w:szCs w:val="21"/>
        </w:rPr>
        <w:br w:type="textWrapping"/>
      </w:r>
      <w:r>
        <w:rPr>
          <w:rFonts w:hAnsi="宋体" w:cs="宋体"/>
          <w:sz w:val="21"/>
          <w:szCs w:val="21"/>
        </w:rPr>
        <w:t>11毕业生对于自主创业的态度</w:t>
      </w:r>
      <w:r>
        <w:rPr>
          <w:rFonts w:hAnsi="宋体" w:cs="宋体"/>
          <w:sz w:val="21"/>
          <w:szCs w:val="21"/>
        </w:rPr>
        <w:br w:type="textWrapping"/>
      </w:r>
      <w:r>
        <w:rPr>
          <w:rFonts w:hAnsi="宋体" w:cs="宋体"/>
          <w:sz w:val="21"/>
          <w:szCs w:val="21"/>
        </w:rPr>
        <w:t>（四）毕业生能力与素养提升</w:t>
      </w:r>
      <w:r>
        <w:rPr>
          <w:rFonts w:hAnsi="宋体" w:cs="宋体"/>
          <w:sz w:val="21"/>
          <w:szCs w:val="21"/>
        </w:rPr>
        <w:br w:type="textWrapping"/>
      </w:r>
      <w:r>
        <w:rPr>
          <w:rFonts w:hAnsi="宋体" w:cs="宋体"/>
          <w:sz w:val="21"/>
          <w:szCs w:val="21"/>
        </w:rPr>
        <w:t>12毕业生对自己工作能力的满意度</w:t>
      </w:r>
      <w:r>
        <w:rPr>
          <w:rFonts w:hAnsi="宋体" w:cs="宋体"/>
          <w:sz w:val="21"/>
          <w:szCs w:val="21"/>
        </w:rPr>
        <w:br w:type="textWrapping"/>
      </w:r>
      <w:r>
        <w:rPr>
          <w:rFonts w:hAnsi="宋体" w:cs="宋体"/>
          <w:sz w:val="21"/>
          <w:szCs w:val="21"/>
        </w:rPr>
        <w:t>13毕业生对创新创业能力的满意度</w:t>
      </w:r>
      <w:r>
        <w:rPr>
          <w:rFonts w:hAnsi="宋体" w:cs="宋体"/>
          <w:sz w:val="21"/>
          <w:szCs w:val="21"/>
        </w:rPr>
        <w:br w:type="textWrapping"/>
      </w:r>
      <w:r>
        <w:rPr>
          <w:rFonts w:hAnsi="宋体" w:cs="宋体"/>
          <w:sz w:val="21"/>
          <w:szCs w:val="21"/>
        </w:rPr>
        <w:t>14在校期间基本工作能力提升情况</w:t>
      </w:r>
      <w:r>
        <w:rPr>
          <w:rFonts w:hAnsi="宋体" w:cs="宋体"/>
          <w:sz w:val="21"/>
          <w:szCs w:val="21"/>
        </w:rPr>
        <w:br w:type="textWrapping"/>
      </w:r>
      <w:r>
        <w:rPr>
          <w:rFonts w:hAnsi="宋体" w:cs="宋体"/>
          <w:sz w:val="21"/>
          <w:szCs w:val="21"/>
        </w:rPr>
        <w:t>15在校期间素养提升情况</w:t>
      </w:r>
      <w:r>
        <w:rPr>
          <w:rFonts w:hAnsi="宋体" w:cs="宋体"/>
          <w:sz w:val="21"/>
          <w:szCs w:val="21"/>
        </w:rPr>
        <w:br w:type="textWrapping"/>
      </w:r>
      <w:r>
        <w:rPr>
          <w:rFonts w:hAnsi="宋体" w:cs="宋体"/>
          <w:b/>
          <w:bCs/>
          <w:sz w:val="21"/>
          <w:szCs w:val="21"/>
        </w:rPr>
        <w:t>第三章 就业主要特点</w:t>
      </w:r>
      <w:r>
        <w:rPr>
          <w:rFonts w:hAnsi="宋体" w:cs="宋体"/>
          <w:sz w:val="21"/>
          <w:szCs w:val="21"/>
        </w:rPr>
        <w:br w:type="textWrapping"/>
      </w:r>
      <w:r>
        <w:rPr>
          <w:rFonts w:hAnsi="宋体" w:cs="宋体"/>
          <w:sz w:val="21"/>
          <w:szCs w:val="21"/>
        </w:rPr>
        <w:t>一</w:t>
      </w:r>
      <w:r>
        <w:rPr>
          <w:rFonts w:hint="eastAsia" w:hAnsi="宋体" w:cs="宋体"/>
          <w:sz w:val="21"/>
          <w:szCs w:val="21"/>
        </w:rPr>
        <w:t xml:space="preserve"> </w:t>
      </w:r>
      <w:r>
        <w:rPr>
          <w:rFonts w:hAnsi="宋体" w:cs="宋体"/>
          <w:sz w:val="21"/>
          <w:szCs w:val="21"/>
        </w:rPr>
        <w:t>促进毕业生就业的政策措施</w:t>
      </w:r>
    </w:p>
    <w:p>
      <w:pPr>
        <w:spacing w:line="360" w:lineRule="exact"/>
        <w:rPr>
          <w:rFonts w:hAnsi="宋体" w:cs="宋体"/>
          <w:sz w:val="21"/>
          <w:szCs w:val="21"/>
        </w:rPr>
      </w:pPr>
      <w:r>
        <w:rPr>
          <w:rFonts w:hAnsi="宋体" w:cs="宋体"/>
          <w:sz w:val="21"/>
          <w:szCs w:val="21"/>
        </w:rPr>
        <w:t>二</w:t>
      </w:r>
      <w:r>
        <w:rPr>
          <w:rFonts w:hint="eastAsia" w:hAnsi="宋体" w:cs="宋体"/>
          <w:sz w:val="21"/>
          <w:szCs w:val="21"/>
        </w:rPr>
        <w:t xml:space="preserve"> </w:t>
      </w:r>
      <w:r>
        <w:rPr>
          <w:rFonts w:hAnsi="宋体" w:cs="宋体"/>
          <w:sz w:val="21"/>
          <w:szCs w:val="21"/>
        </w:rPr>
        <w:t>就业服务指导情况</w:t>
      </w:r>
      <w:r>
        <w:rPr>
          <w:rFonts w:hAnsi="宋体" w:cs="宋体"/>
          <w:sz w:val="21"/>
          <w:szCs w:val="21"/>
        </w:rPr>
        <w:br w:type="textWrapping"/>
      </w:r>
      <w:r>
        <w:rPr>
          <w:rFonts w:hAnsi="宋体" w:cs="宋体"/>
          <w:sz w:val="21"/>
          <w:szCs w:val="21"/>
        </w:rPr>
        <w:t>1毕业生对学校就业服务的满意度</w:t>
      </w:r>
      <w:r>
        <w:rPr>
          <w:rFonts w:hAnsi="宋体" w:cs="宋体"/>
          <w:sz w:val="21"/>
          <w:szCs w:val="21"/>
        </w:rPr>
        <w:br w:type="textWrapping"/>
      </w:r>
      <w:r>
        <w:rPr>
          <w:rFonts w:hAnsi="宋体" w:cs="宋体"/>
          <w:sz w:val="21"/>
          <w:szCs w:val="21"/>
        </w:rPr>
        <w:t>2学校就业服务分布情况</w:t>
      </w:r>
      <w:r>
        <w:rPr>
          <w:rFonts w:hAnsi="宋体" w:cs="宋体"/>
          <w:sz w:val="21"/>
          <w:szCs w:val="21"/>
        </w:rPr>
        <w:br w:type="textWrapping"/>
      </w:r>
      <w:r>
        <w:rPr>
          <w:rFonts w:hAnsi="宋体" w:cs="宋体"/>
          <w:sz w:val="21"/>
          <w:szCs w:val="21"/>
        </w:rPr>
        <w:t>3学校就业服务需要改进的方面</w:t>
      </w:r>
      <w:r>
        <w:rPr>
          <w:rFonts w:hAnsi="宋体" w:cs="宋体"/>
          <w:sz w:val="21"/>
          <w:szCs w:val="21"/>
        </w:rPr>
        <w:br w:type="textWrapping"/>
      </w:r>
      <w:r>
        <w:rPr>
          <w:rFonts w:hAnsi="宋体" w:cs="宋体"/>
          <w:sz w:val="21"/>
          <w:szCs w:val="21"/>
        </w:rPr>
        <w:t>4毕业生第一份工作获取的渠道</w:t>
      </w:r>
      <w:r>
        <w:rPr>
          <w:rFonts w:hAnsi="宋体" w:cs="宋体"/>
          <w:sz w:val="21"/>
          <w:szCs w:val="21"/>
        </w:rPr>
        <w:br w:type="textWrapping"/>
      </w:r>
      <w:r>
        <w:rPr>
          <w:rFonts w:hAnsi="宋体" w:cs="宋体"/>
          <w:sz w:val="21"/>
          <w:szCs w:val="21"/>
        </w:rPr>
        <w:t>5获得第一份工作前收到的Offer（录取通知）</w:t>
      </w:r>
      <w:r>
        <w:rPr>
          <w:rFonts w:hAnsi="宋体" w:cs="宋体"/>
          <w:sz w:val="21"/>
          <w:szCs w:val="21"/>
        </w:rPr>
        <w:br w:type="textWrapping"/>
      </w:r>
      <w:r>
        <w:rPr>
          <w:rFonts w:hAnsi="宋体" w:cs="宋体"/>
          <w:b/>
          <w:bCs/>
          <w:sz w:val="21"/>
          <w:szCs w:val="21"/>
        </w:rPr>
        <w:t>第四章 发展趋势研判</w:t>
      </w:r>
      <w:r>
        <w:rPr>
          <w:rFonts w:hAnsi="宋体" w:cs="宋体"/>
          <w:sz w:val="21"/>
          <w:szCs w:val="21"/>
        </w:rPr>
        <w:br w:type="textWrapping"/>
      </w:r>
      <w:r>
        <w:rPr>
          <w:rFonts w:hAnsi="宋体" w:cs="宋体"/>
          <w:sz w:val="21"/>
          <w:szCs w:val="21"/>
        </w:rPr>
        <w:t>1特色专业保持比重</w:t>
      </w:r>
      <w:r>
        <w:rPr>
          <w:rFonts w:hAnsi="宋体" w:cs="宋体"/>
          <w:sz w:val="21"/>
          <w:szCs w:val="21"/>
        </w:rPr>
        <w:br w:type="textWrapping"/>
      </w:r>
      <w:r>
        <w:rPr>
          <w:rFonts w:hAnsi="宋体" w:cs="宋体"/>
          <w:sz w:val="21"/>
          <w:szCs w:val="21"/>
        </w:rPr>
        <w:t>2就业率变化趋势</w:t>
      </w:r>
      <w:r>
        <w:rPr>
          <w:rFonts w:hAnsi="宋体" w:cs="宋体"/>
          <w:sz w:val="21"/>
          <w:szCs w:val="21"/>
        </w:rPr>
        <w:br w:type="textWrapping"/>
      </w:r>
      <w:r>
        <w:rPr>
          <w:rFonts w:hAnsi="宋体" w:cs="宋体"/>
          <w:sz w:val="21"/>
          <w:szCs w:val="21"/>
        </w:rPr>
        <w:t>3国企就业保持情况</w:t>
      </w:r>
      <w:r>
        <w:rPr>
          <w:rFonts w:hAnsi="宋体" w:cs="宋体"/>
          <w:sz w:val="21"/>
          <w:szCs w:val="21"/>
        </w:rPr>
        <w:br w:type="textWrapping"/>
      </w:r>
      <w:r>
        <w:rPr>
          <w:rFonts w:hAnsi="宋体" w:cs="宋体"/>
          <w:sz w:val="21"/>
          <w:szCs w:val="21"/>
        </w:rPr>
        <w:t>4立足省内，积极拓展省外就业市场</w:t>
      </w:r>
      <w:r>
        <w:rPr>
          <w:rFonts w:hAnsi="宋体" w:cs="宋体"/>
          <w:sz w:val="21"/>
          <w:szCs w:val="21"/>
        </w:rPr>
        <w:br w:type="textWrapping"/>
      </w:r>
      <w:r>
        <w:rPr>
          <w:rFonts w:hAnsi="宋体" w:cs="宋体"/>
          <w:sz w:val="21"/>
          <w:szCs w:val="21"/>
        </w:rPr>
        <w:t>5平均月收入较去年的变化</w:t>
      </w:r>
      <w:r>
        <w:rPr>
          <w:rFonts w:hAnsi="宋体" w:cs="宋体"/>
          <w:sz w:val="21"/>
          <w:szCs w:val="21"/>
        </w:rPr>
        <w:br w:type="textWrapping"/>
      </w:r>
      <w:r>
        <w:rPr>
          <w:rFonts w:hAnsi="宋体" w:cs="宋体"/>
          <w:sz w:val="21"/>
          <w:szCs w:val="21"/>
        </w:rPr>
        <w:t>6特色专业毕业生在对口行业的就业比例</w:t>
      </w:r>
    </w:p>
    <w:p>
      <w:pPr>
        <w:pStyle w:val="2"/>
        <w:ind w:left="680" w:firstLine="680"/>
      </w:pPr>
    </w:p>
    <w:p>
      <w:pPr>
        <w:pStyle w:val="5"/>
        <w:rPr>
          <w:rStyle w:val="19"/>
          <w:rFonts w:hint="eastAsia" w:eastAsia="宋体"/>
          <w:b w:val="0"/>
          <w:color w:val="000000" w:themeColor="text1"/>
          <w:sz w:val="28"/>
          <w:szCs w:val="28"/>
          <w:lang w:val="en-US" w:eastAsia="zh-CN"/>
          <w14:textFill>
            <w14:solidFill>
              <w14:schemeClr w14:val="tx1"/>
            </w14:solidFill>
          </w14:textFill>
        </w:rPr>
      </w:pPr>
      <w:bookmarkStart w:id="136" w:name="_Toc11495"/>
      <w:r>
        <w:rPr>
          <w:rStyle w:val="19"/>
          <w:rFonts w:hint="eastAsia" w:eastAsia="宋体"/>
          <w:b w:val="0"/>
          <w:color w:val="000000" w:themeColor="text1"/>
          <w:sz w:val="28"/>
          <w:szCs w:val="28"/>
          <w:lang w:val="en-US" w:eastAsia="zh-CN"/>
          <w14:textFill>
            <w14:solidFill>
              <w14:schemeClr w14:val="tx1"/>
            </w14:solidFill>
          </w14:textFill>
        </w:rPr>
        <w:t>三、商务要求</w:t>
      </w:r>
      <w:bookmarkEnd w:id="136"/>
    </w:p>
    <w:p>
      <w:pPr>
        <w:pStyle w:val="33"/>
        <w:numPr>
          <w:ilvl w:val="0"/>
          <w:numId w:val="3"/>
        </w:numPr>
        <w:spacing w:line="380" w:lineRule="exact"/>
        <w:jc w:val="both"/>
        <w:rPr>
          <w:rStyle w:val="19"/>
          <w:rFonts w:ascii="宋体" w:hAnsi="宋体"/>
          <w:b w:val="0"/>
          <w:bCs w:val="0"/>
          <w:spacing w:val="0"/>
          <w:sz w:val="21"/>
          <w:szCs w:val="21"/>
        </w:rPr>
      </w:pPr>
      <w:r>
        <w:rPr>
          <w:rFonts w:hint="eastAsia" w:hAnsi="宋体"/>
          <w:spacing w:val="0"/>
          <w:sz w:val="21"/>
          <w:szCs w:val="21"/>
        </w:rPr>
        <w:t>投标人所提供的货物开箱后，发现有任何问题（包括外观损伤），必须以使用方能接受的方式加以解决。</w:t>
      </w:r>
    </w:p>
    <w:p>
      <w:pPr>
        <w:pStyle w:val="33"/>
        <w:numPr>
          <w:ilvl w:val="0"/>
          <w:numId w:val="3"/>
        </w:numPr>
        <w:spacing w:line="380" w:lineRule="exact"/>
        <w:jc w:val="both"/>
        <w:rPr>
          <w:rFonts w:hAnsi="宋体"/>
          <w:spacing w:val="0"/>
          <w:sz w:val="21"/>
          <w:szCs w:val="21"/>
        </w:rPr>
      </w:pPr>
      <w:r>
        <w:rPr>
          <w:rFonts w:hint="eastAsia" w:hAnsi="宋体"/>
          <w:spacing w:val="0"/>
          <w:sz w:val="21"/>
          <w:szCs w:val="21"/>
        </w:rPr>
        <w:t>交货时间：合同签署后</w:t>
      </w:r>
      <w:r>
        <w:rPr>
          <w:rFonts w:hAnsi="宋体"/>
          <w:spacing w:val="0"/>
          <w:sz w:val="21"/>
          <w:szCs w:val="21"/>
        </w:rPr>
        <w:t>45</w:t>
      </w:r>
      <w:r>
        <w:rPr>
          <w:rFonts w:hint="eastAsia" w:hAnsi="宋体"/>
          <w:spacing w:val="0"/>
          <w:sz w:val="21"/>
          <w:szCs w:val="21"/>
        </w:rPr>
        <w:t>个工作日内完成项目交付。</w:t>
      </w:r>
    </w:p>
    <w:p>
      <w:pPr>
        <w:pStyle w:val="33"/>
        <w:numPr>
          <w:ilvl w:val="0"/>
          <w:numId w:val="3"/>
        </w:numPr>
        <w:spacing w:line="380" w:lineRule="exact"/>
        <w:jc w:val="both"/>
        <w:rPr>
          <w:rFonts w:hAnsi="宋体"/>
          <w:spacing w:val="0"/>
          <w:sz w:val="21"/>
          <w:szCs w:val="21"/>
        </w:rPr>
      </w:pPr>
      <w:r>
        <w:rPr>
          <w:rFonts w:hint="eastAsia" w:hAnsi="宋体"/>
          <w:spacing w:val="0"/>
          <w:sz w:val="21"/>
          <w:szCs w:val="21"/>
        </w:rPr>
        <w:t>交货地点：四川铁道职业学院内</w:t>
      </w:r>
    </w:p>
    <w:p>
      <w:pPr>
        <w:pStyle w:val="33"/>
        <w:numPr>
          <w:ilvl w:val="0"/>
          <w:numId w:val="3"/>
        </w:numPr>
        <w:spacing w:line="380" w:lineRule="exact"/>
        <w:jc w:val="both"/>
        <w:rPr>
          <w:rFonts w:hAnsi="宋体"/>
          <w:spacing w:val="0"/>
          <w:sz w:val="21"/>
          <w:szCs w:val="21"/>
        </w:rPr>
      </w:pPr>
      <w:r>
        <w:rPr>
          <w:rFonts w:hint="eastAsia" w:hAnsi="宋体"/>
          <w:spacing w:val="0"/>
          <w:sz w:val="21"/>
          <w:szCs w:val="21"/>
        </w:rPr>
        <w:t>验收方法：项目完成后，由采购人指派的负责人对本项目内容及完成情况进行确认。</w:t>
      </w:r>
    </w:p>
    <w:p>
      <w:pPr>
        <w:pStyle w:val="33"/>
        <w:numPr>
          <w:ilvl w:val="0"/>
          <w:numId w:val="3"/>
        </w:numPr>
        <w:spacing w:line="380" w:lineRule="exact"/>
        <w:jc w:val="both"/>
        <w:rPr>
          <w:rFonts w:hAnsi="宋体"/>
          <w:spacing w:val="0"/>
          <w:sz w:val="21"/>
          <w:szCs w:val="21"/>
        </w:rPr>
      </w:pPr>
      <w:r>
        <w:rPr>
          <w:rFonts w:hint="eastAsia" w:hAnsi="宋体"/>
          <w:spacing w:val="0"/>
          <w:sz w:val="21"/>
          <w:szCs w:val="21"/>
        </w:rPr>
        <w:t>验收标准：按招标文件要求、成交供应商的响应文件及承诺、签订的合同、国家及行业相关规范标准进行。</w:t>
      </w:r>
    </w:p>
    <w:p>
      <w:pPr>
        <w:pStyle w:val="33"/>
        <w:numPr>
          <w:ilvl w:val="0"/>
          <w:numId w:val="3"/>
        </w:numPr>
        <w:spacing w:line="380" w:lineRule="exact"/>
        <w:jc w:val="both"/>
        <w:rPr>
          <w:rFonts w:hAnsi="宋体"/>
          <w:spacing w:val="0"/>
          <w:sz w:val="21"/>
          <w:szCs w:val="21"/>
        </w:rPr>
      </w:pPr>
      <w:r>
        <w:rPr>
          <w:rFonts w:hint="eastAsia" w:hAnsi="宋体"/>
          <w:spacing w:val="0"/>
          <w:sz w:val="21"/>
          <w:szCs w:val="21"/>
        </w:rPr>
        <w:t>付款方式：本项目合同签订后，采购人向成交供应商支付本合同总价的</w:t>
      </w:r>
      <w:r>
        <w:rPr>
          <w:rFonts w:hAnsi="宋体"/>
          <w:spacing w:val="0"/>
          <w:sz w:val="21"/>
          <w:szCs w:val="21"/>
        </w:rPr>
        <w:t>60</w:t>
      </w:r>
      <w:r>
        <w:rPr>
          <w:rFonts w:hint="eastAsia" w:hAnsi="宋体"/>
          <w:spacing w:val="0"/>
          <w:sz w:val="21"/>
          <w:szCs w:val="21"/>
        </w:rPr>
        <w:t>%；项目验收后，采购人向成交供应商支付剩余的</w:t>
      </w:r>
      <w:r>
        <w:rPr>
          <w:rFonts w:hAnsi="宋体"/>
          <w:spacing w:val="0"/>
          <w:sz w:val="21"/>
          <w:szCs w:val="21"/>
        </w:rPr>
        <w:t>40</w:t>
      </w:r>
      <w:r>
        <w:rPr>
          <w:rFonts w:hint="eastAsia" w:hAnsi="宋体"/>
          <w:spacing w:val="0"/>
          <w:sz w:val="21"/>
          <w:szCs w:val="21"/>
        </w:rPr>
        <w:t>%。采购人支付价款前，成交供应商向采购人提供等额增值税发票。</w:t>
      </w:r>
    </w:p>
    <w:p>
      <w:pPr>
        <w:widowControl/>
        <w:jc w:val="left"/>
        <w:rPr>
          <w:rFonts w:hAnsi="宋体"/>
          <w:sz w:val="32"/>
          <w:szCs w:val="32"/>
        </w:rPr>
      </w:pPr>
      <w:r>
        <w:rPr>
          <w:rFonts w:hint="eastAsia" w:hAnsi="宋体"/>
          <w:sz w:val="32"/>
          <w:szCs w:val="32"/>
        </w:rPr>
        <w:br w:type="page"/>
      </w:r>
    </w:p>
    <w:p/>
    <w:p>
      <w:pPr>
        <w:pStyle w:val="4"/>
        <w:snapToGrid w:val="0"/>
        <w:spacing w:before="0" w:after="0" w:line="240" w:lineRule="auto"/>
        <w:ind w:firstLine="2891" w:firstLineChars="900"/>
        <w:rPr>
          <w:rFonts w:hAnsi="宋体"/>
          <w:sz w:val="32"/>
          <w:szCs w:val="32"/>
        </w:rPr>
      </w:pPr>
      <w:bookmarkStart w:id="137" w:name="_Toc116221030"/>
      <w:bookmarkStart w:id="138" w:name="_Toc27006"/>
      <w:r>
        <w:rPr>
          <w:rFonts w:hint="eastAsia" w:hAnsi="宋体"/>
          <w:sz w:val="32"/>
          <w:szCs w:val="32"/>
        </w:rPr>
        <w:t>第五章</w:t>
      </w:r>
      <w:r>
        <w:rPr>
          <w:rFonts w:hAnsi="宋体"/>
          <w:sz w:val="32"/>
          <w:szCs w:val="32"/>
        </w:rPr>
        <w:t xml:space="preserve">  </w:t>
      </w:r>
      <w:r>
        <w:rPr>
          <w:rFonts w:hint="eastAsia" w:hAnsi="宋体"/>
          <w:sz w:val="32"/>
          <w:szCs w:val="32"/>
        </w:rPr>
        <w:t>评标办法</w:t>
      </w:r>
      <w:bookmarkEnd w:id="137"/>
      <w:bookmarkEnd w:id="138"/>
    </w:p>
    <w:p>
      <w:pPr>
        <w:adjustRightInd w:val="0"/>
        <w:snapToGrid w:val="0"/>
        <w:spacing w:line="360" w:lineRule="auto"/>
        <w:ind w:firstLine="481" w:firstLineChars="188"/>
        <w:jc w:val="left"/>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100</w:t>
      </w:r>
      <w:r>
        <w:rPr>
          <w:rFonts w:hint="eastAsia" w:hAnsi="宋体"/>
          <w:color w:val="000000"/>
          <w:sz w:val="24"/>
        </w:rPr>
        <w:t>分。招标主要考评因素包括投标报价（30</w:t>
      </w:r>
      <w:r>
        <w:rPr>
          <w:rFonts w:hAnsi="宋体"/>
          <w:color w:val="000000"/>
          <w:sz w:val="24"/>
        </w:rPr>
        <w:t>%</w:t>
      </w:r>
      <w:r>
        <w:rPr>
          <w:rFonts w:hint="eastAsia" w:hAnsi="宋体"/>
          <w:color w:val="000000"/>
          <w:sz w:val="24"/>
        </w:rPr>
        <w:t>）、技术和服务性能（4</w:t>
      </w:r>
      <w:r>
        <w:rPr>
          <w:rFonts w:hAnsi="宋体"/>
          <w:color w:val="000000"/>
          <w:sz w:val="24"/>
        </w:rPr>
        <w:t>0%</w:t>
      </w:r>
      <w:r>
        <w:rPr>
          <w:rFonts w:hint="eastAsia" w:hAnsi="宋体"/>
          <w:color w:val="000000"/>
          <w:sz w:val="24"/>
        </w:rPr>
        <w:t>）、综合商务部分（3</w:t>
      </w:r>
      <w:r>
        <w:rPr>
          <w:rFonts w:hAnsi="宋体"/>
          <w:color w:val="000000"/>
          <w:sz w:val="24"/>
        </w:rPr>
        <w:t>0%</w:t>
      </w:r>
      <w:r>
        <w:rPr>
          <w:rFonts w:hint="eastAsia" w:hAnsi="宋体"/>
          <w:color w:val="000000"/>
          <w:sz w:val="24"/>
        </w:rPr>
        <w:t>）三个方面，各投标人三方面的所有评价指标得分之和为该投标人的综合得分。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361"/>
        <w:gridCol w:w="708"/>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jc w:val="center"/>
              <w:rPr>
                <w:rFonts w:ascii="新宋体" w:hAnsi="新宋体" w:eastAsia="新宋体" w:cs="仿宋"/>
                <w:b/>
                <w:bCs/>
                <w:color w:val="000000" w:themeColor="text1"/>
                <w:sz w:val="21"/>
                <w:szCs w:val="21"/>
                <w14:textFill>
                  <w14:solidFill>
                    <w14:schemeClr w14:val="tx1"/>
                  </w14:solidFill>
                </w14:textFill>
              </w:rPr>
            </w:pPr>
            <w:r>
              <w:rPr>
                <w:rFonts w:hint="eastAsia" w:ascii="新宋体" w:hAnsi="新宋体" w:eastAsia="新宋体" w:cs="仿宋"/>
                <w:b/>
                <w:bCs/>
                <w:color w:val="000000" w:themeColor="text1"/>
                <w:sz w:val="21"/>
                <w:szCs w:val="21"/>
                <w14:textFill>
                  <w14:solidFill>
                    <w14:schemeClr w14:val="tx1"/>
                  </w14:solidFill>
                </w14:textFill>
              </w:rPr>
              <w:t>序号</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b/>
                <w:bCs/>
                <w:color w:val="000000" w:themeColor="text1"/>
                <w:sz w:val="21"/>
                <w:szCs w:val="21"/>
                <w14:textFill>
                  <w14:solidFill>
                    <w14:schemeClr w14:val="tx1"/>
                  </w14:solidFill>
                </w14:textFill>
              </w:rPr>
            </w:pPr>
            <w:r>
              <w:rPr>
                <w:rFonts w:hint="eastAsia" w:ascii="新宋体" w:hAnsi="新宋体" w:eastAsia="新宋体" w:cs="仿宋"/>
                <w:b/>
                <w:bCs/>
                <w:color w:val="000000" w:themeColor="text1"/>
                <w:sz w:val="21"/>
                <w:szCs w:val="21"/>
                <w14:textFill>
                  <w14:solidFill>
                    <w14:schemeClr w14:val="tx1"/>
                  </w14:solidFill>
                </w14:textFill>
              </w:rPr>
              <w:t>评分因素</w:t>
            </w:r>
          </w:p>
        </w:tc>
        <w:tc>
          <w:tcPr>
            <w:tcW w:w="708"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rPr>
                <w:rFonts w:ascii="新宋体" w:hAnsi="新宋体" w:eastAsia="新宋体" w:cs="仿宋"/>
                <w:b/>
                <w:bCs/>
                <w:color w:val="000000" w:themeColor="text1"/>
                <w:sz w:val="21"/>
                <w:szCs w:val="21"/>
                <w14:textFill>
                  <w14:solidFill>
                    <w14:schemeClr w14:val="tx1"/>
                  </w14:solidFill>
                </w14:textFill>
              </w:rPr>
            </w:pPr>
            <w:r>
              <w:rPr>
                <w:rFonts w:hint="eastAsia" w:ascii="新宋体" w:hAnsi="新宋体" w:eastAsia="新宋体" w:cs="仿宋"/>
                <w:b/>
                <w:bCs/>
                <w:color w:val="000000" w:themeColor="text1"/>
                <w:sz w:val="21"/>
                <w:szCs w:val="21"/>
                <w14:textFill>
                  <w14:solidFill>
                    <w14:schemeClr w14:val="tx1"/>
                  </w14:solidFill>
                </w14:textFill>
              </w:rPr>
              <w:t>分值</w:t>
            </w:r>
          </w:p>
        </w:tc>
        <w:tc>
          <w:tcPr>
            <w:tcW w:w="7083"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jc w:val="center"/>
              <w:rPr>
                <w:rFonts w:ascii="新宋体" w:hAnsi="新宋体" w:eastAsia="新宋体" w:cs="仿宋"/>
                <w:b/>
                <w:bCs/>
                <w:color w:val="000000" w:themeColor="text1"/>
                <w:sz w:val="21"/>
                <w:szCs w:val="21"/>
                <w14:textFill>
                  <w14:solidFill>
                    <w14:schemeClr w14:val="tx1"/>
                  </w14:solidFill>
                </w14:textFill>
              </w:rPr>
            </w:pPr>
            <w:r>
              <w:rPr>
                <w:rFonts w:hint="eastAsia" w:ascii="新宋体" w:hAnsi="新宋体" w:eastAsia="新宋体" w:cs="仿宋"/>
                <w:b/>
                <w:bCs/>
                <w:color w:val="000000" w:themeColor="text1"/>
                <w:sz w:val="2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1</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报价</w:t>
            </w:r>
          </w:p>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w:t>
            </w:r>
            <w:r>
              <w:rPr>
                <w:rFonts w:ascii="新宋体" w:hAnsi="新宋体" w:eastAsia="新宋体" w:cs="仿宋"/>
                <w:color w:val="000000" w:themeColor="text1"/>
                <w:sz w:val="21"/>
                <w:szCs w:val="21"/>
                <w:lang w:bidi="ar"/>
                <w14:textFill>
                  <w14:solidFill>
                    <w14:schemeClr w14:val="tx1"/>
                  </w14:solidFill>
                </w14:textFill>
              </w:rPr>
              <w:t>3</w:t>
            </w:r>
            <w:r>
              <w:rPr>
                <w:rFonts w:hint="eastAsia" w:ascii="新宋体" w:hAnsi="新宋体" w:eastAsia="新宋体" w:cs="仿宋"/>
                <w:color w:val="000000" w:themeColor="text1"/>
                <w:sz w:val="21"/>
                <w:szCs w:val="21"/>
                <w:lang w:bidi="ar"/>
                <w14:textFill>
                  <w14:solidFill>
                    <w14:schemeClr w14:val="tx1"/>
                  </w14:solidFill>
                </w14:textFill>
              </w:rPr>
              <w:t>0分）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lang w:bidi="ar"/>
                <w14:textFill>
                  <w14:solidFill>
                    <w14:schemeClr w14:val="tx1"/>
                  </w14:solidFill>
                </w14:textFill>
              </w:rPr>
              <w:t>3</w:t>
            </w:r>
            <w:r>
              <w:rPr>
                <w:rFonts w:hint="eastAsia" w:ascii="新宋体" w:hAnsi="新宋体" w:eastAsia="新宋体" w:cs="仿宋"/>
                <w:color w:val="000000" w:themeColor="text1"/>
                <w:sz w:val="21"/>
                <w:szCs w:val="21"/>
                <w:lang w:bidi="ar"/>
                <w14:textFill>
                  <w14:solidFill>
                    <w14:schemeClr w14:val="tx1"/>
                  </w14:solidFill>
                </w14:textFill>
              </w:rPr>
              <w:t>0分</w:t>
            </w:r>
          </w:p>
        </w:tc>
        <w:tc>
          <w:tcPr>
            <w:tcW w:w="7083" w:type="dxa"/>
            <w:tcBorders>
              <w:top w:val="single" w:color="auto" w:sz="4" w:space="0"/>
              <w:left w:val="single" w:color="auto" w:sz="4" w:space="0"/>
              <w:bottom w:val="single" w:color="auto" w:sz="4" w:space="0"/>
              <w:right w:val="single" w:color="auto" w:sz="4" w:space="0"/>
            </w:tcBorders>
            <w:vAlign w:val="center"/>
          </w:tcPr>
          <w:p>
            <w:pPr>
              <w:pStyle w:val="33"/>
              <w:spacing w:line="460" w:lineRule="exact"/>
              <w:jc w:val="both"/>
              <w:rPr>
                <w:rFonts w:ascii="新宋体" w:hAnsi="新宋体" w:eastAsia="新宋体" w:cs="仿宋"/>
                <w:color w:val="000000" w:themeColor="text1"/>
                <w:spacing w:val="0"/>
                <w:sz w:val="21"/>
                <w:szCs w:val="21"/>
                <w14:textFill>
                  <w14:solidFill>
                    <w14:schemeClr w14:val="tx1"/>
                  </w14:solidFill>
                </w14:textFill>
              </w:rPr>
            </w:pPr>
            <w:r>
              <w:rPr>
                <w:rFonts w:hint="eastAsia" w:ascii="新宋体" w:hAnsi="新宋体" w:eastAsia="新宋体" w:cs="仿宋"/>
                <w:color w:val="000000" w:themeColor="text1"/>
                <w:spacing w:val="0"/>
                <w:sz w:val="21"/>
                <w:szCs w:val="21"/>
                <w14:textFill>
                  <w14:solidFill>
                    <w14:schemeClr w14:val="tx1"/>
                  </w14:solidFill>
                </w14:textFill>
              </w:rPr>
              <w:t>满足比选文件要求且报价最低的响应报价为评审基准价，其价格分为满分。其他供应商的价格分统一按照下列公式计算：响应报价得分=(评审基准价/响应报价)×</w:t>
            </w:r>
            <w:r>
              <w:rPr>
                <w:rFonts w:ascii="新宋体" w:hAnsi="新宋体" w:eastAsia="新宋体" w:cs="仿宋"/>
                <w:color w:val="000000" w:themeColor="text1"/>
                <w:spacing w:val="0"/>
                <w:sz w:val="21"/>
                <w:szCs w:val="21"/>
                <w14:textFill>
                  <w14:solidFill>
                    <w14:schemeClr w14:val="tx1"/>
                  </w14:solidFill>
                </w14:textFill>
              </w:rPr>
              <w:t>30</w:t>
            </w:r>
            <w:r>
              <w:rPr>
                <w:rFonts w:hint="eastAsia" w:ascii="新宋体" w:hAnsi="新宋体" w:eastAsia="新宋体" w:cs="仿宋"/>
                <w:color w:val="000000" w:themeColor="text1"/>
                <w:spacing w:val="0"/>
                <w:sz w:val="21"/>
                <w:szCs w:val="21"/>
                <w14:textFill>
                  <w14:solidFill>
                    <w14:schemeClr w14:val="tx1"/>
                  </w14:solidFill>
                </w14:textFill>
              </w:rPr>
              <w:t>×100%（得分保留两位小数）。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2</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服务内容及要求</w:t>
            </w:r>
          </w:p>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w:t>
            </w:r>
            <w:r>
              <w:rPr>
                <w:rFonts w:ascii="新宋体" w:hAnsi="新宋体" w:eastAsia="新宋体" w:cs="仿宋"/>
                <w:color w:val="000000" w:themeColor="text1"/>
                <w:sz w:val="21"/>
                <w:szCs w:val="21"/>
                <w:lang w:bidi="ar"/>
                <w14:textFill>
                  <w14:solidFill>
                    <w14:schemeClr w14:val="tx1"/>
                  </w14:solidFill>
                </w14:textFill>
              </w:rPr>
              <w:t>13</w:t>
            </w:r>
            <w:r>
              <w:rPr>
                <w:rFonts w:hint="eastAsia" w:ascii="新宋体" w:hAnsi="新宋体" w:eastAsia="新宋体" w:cs="仿宋"/>
                <w:color w:val="000000" w:themeColor="text1"/>
                <w:sz w:val="21"/>
                <w:szCs w:val="21"/>
                <w:lang w:bidi="ar"/>
                <w14:textFill>
                  <w14:solidFill>
                    <w14:schemeClr w14:val="tx1"/>
                  </w14:solidFill>
                </w14:textFill>
              </w:rPr>
              <w:t>分）</w:t>
            </w:r>
          </w:p>
          <w:p>
            <w:pPr>
              <w:pStyle w:val="2"/>
              <w:ind w:left="680" w:firstLine="680"/>
              <w:rPr>
                <w:lang w:bidi="ar"/>
              </w:rPr>
            </w:pPr>
            <w:r>
              <w:rPr>
                <w:rFonts w:hint="eastAsia"/>
                <w:lang w:bidi="ar"/>
              </w:rPr>
              <w:t>（</w:t>
            </w:r>
          </w:p>
        </w:tc>
        <w:tc>
          <w:tcPr>
            <w:tcW w:w="70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1</w:t>
            </w:r>
            <w:r>
              <w:rPr>
                <w:rFonts w:ascii="新宋体" w:hAnsi="新宋体" w:eastAsia="新宋体" w:cs="仿宋"/>
                <w:color w:val="000000" w:themeColor="text1"/>
                <w:sz w:val="21"/>
                <w:szCs w:val="21"/>
                <w:lang w:bidi="ar"/>
                <w14:textFill>
                  <w14:solidFill>
                    <w14:schemeClr w14:val="tx1"/>
                  </w14:solidFill>
                </w14:textFill>
              </w:rPr>
              <w:t>3</w:t>
            </w:r>
            <w:r>
              <w:rPr>
                <w:rFonts w:hint="eastAsia" w:ascii="新宋体" w:hAnsi="新宋体" w:eastAsia="新宋体" w:cs="仿宋"/>
                <w:color w:val="000000" w:themeColor="text1"/>
                <w:sz w:val="21"/>
                <w:szCs w:val="21"/>
                <w:lang w:bidi="ar"/>
                <w14:textFill>
                  <w14:solidFill>
                    <w14:schemeClr w14:val="tx1"/>
                  </w14:solidFill>
                </w14:textFill>
              </w:rPr>
              <w:t>分</w:t>
            </w:r>
          </w:p>
        </w:tc>
        <w:tc>
          <w:tcPr>
            <w:tcW w:w="7083" w:type="dxa"/>
            <w:tcBorders>
              <w:top w:val="single" w:color="auto" w:sz="4" w:space="0"/>
              <w:left w:val="single" w:color="auto" w:sz="4" w:space="0"/>
              <w:bottom w:val="single" w:color="auto" w:sz="4" w:space="0"/>
              <w:right w:val="single" w:color="auto" w:sz="4" w:space="0"/>
            </w:tcBorders>
            <w:vAlign w:val="center"/>
          </w:tcPr>
          <w:p>
            <w:pPr>
              <w:pStyle w:val="33"/>
              <w:spacing w:line="460" w:lineRule="exact"/>
              <w:jc w:val="both"/>
              <w:rPr>
                <w:rFonts w:ascii="新宋体" w:hAnsi="新宋体" w:eastAsia="新宋体" w:cs="仿宋"/>
                <w:color w:val="000000" w:themeColor="text1"/>
                <w:spacing w:val="0"/>
                <w:sz w:val="21"/>
                <w:szCs w:val="21"/>
                <w14:textFill>
                  <w14:solidFill>
                    <w14:schemeClr w14:val="tx1"/>
                  </w14:solidFill>
                </w14:textFill>
              </w:rPr>
            </w:pPr>
            <w:r>
              <w:rPr>
                <w:rFonts w:hint="eastAsia" w:ascii="新宋体" w:hAnsi="新宋体" w:eastAsia="新宋体" w:cs="仿宋"/>
                <w:color w:val="000000" w:themeColor="text1"/>
                <w:spacing w:val="0"/>
                <w:sz w:val="21"/>
                <w:szCs w:val="21"/>
                <w14:textFill>
                  <w14:solidFill>
                    <w14:schemeClr w14:val="tx1"/>
                  </w14:solidFill>
                </w14:textFill>
              </w:rPr>
              <w:t>供应商的响应文件完全满足采购文件中的所有服务内容及要求、商务要求没有负偏离的得1</w:t>
            </w:r>
            <w:r>
              <w:rPr>
                <w:rFonts w:ascii="新宋体" w:hAnsi="新宋体" w:eastAsia="新宋体" w:cs="仿宋"/>
                <w:color w:val="000000" w:themeColor="text1"/>
                <w:spacing w:val="0"/>
                <w:sz w:val="21"/>
                <w:szCs w:val="21"/>
                <w14:textFill>
                  <w14:solidFill>
                    <w14:schemeClr w14:val="tx1"/>
                  </w14:solidFill>
                </w14:textFill>
              </w:rPr>
              <w:t>3</w:t>
            </w:r>
            <w:r>
              <w:rPr>
                <w:rFonts w:hint="eastAsia" w:ascii="新宋体" w:hAnsi="新宋体" w:eastAsia="新宋体" w:cs="仿宋"/>
                <w:color w:val="000000" w:themeColor="text1"/>
                <w:spacing w:val="0"/>
                <w:sz w:val="21"/>
                <w:szCs w:val="21"/>
                <w14:textFill>
                  <w14:solidFill>
                    <w14:schemeClr w14:val="tx1"/>
                  </w14:solidFill>
                </w14:textFill>
              </w:rPr>
              <w:t>分；供应商的响应文件不满足采购文件中的所有建设内容及商务要求的按照以下原则进行扣分：</w:t>
            </w:r>
          </w:p>
          <w:p>
            <w:pPr>
              <w:pStyle w:val="33"/>
              <w:spacing w:line="460" w:lineRule="exact"/>
              <w:jc w:val="both"/>
              <w:rPr>
                <w:rFonts w:ascii="新宋体" w:hAnsi="新宋体" w:eastAsia="新宋体" w:cs="仿宋"/>
                <w:color w:val="000000" w:themeColor="text1"/>
                <w:spacing w:val="0"/>
                <w:sz w:val="21"/>
                <w:szCs w:val="21"/>
                <w14:textFill>
                  <w14:solidFill>
                    <w14:schemeClr w14:val="tx1"/>
                  </w14:solidFill>
                </w14:textFill>
              </w:rPr>
            </w:pPr>
            <w:r>
              <w:rPr>
                <w:rFonts w:hint="eastAsia" w:ascii="新宋体" w:hAnsi="新宋体" w:eastAsia="新宋体" w:cs="仿宋"/>
                <w:color w:val="000000" w:themeColor="text1"/>
                <w:spacing w:val="0"/>
                <w:sz w:val="21"/>
                <w:szCs w:val="21"/>
                <w14:textFill>
                  <w14:solidFill>
                    <w14:schemeClr w14:val="tx1"/>
                  </w14:solidFill>
                </w14:textFill>
              </w:rPr>
              <w:t>每有一项非实质性条款负偏离的扣</w:t>
            </w:r>
            <w:r>
              <w:rPr>
                <w:rFonts w:ascii="新宋体" w:hAnsi="新宋体" w:eastAsia="新宋体" w:cs="仿宋"/>
                <w:color w:val="000000" w:themeColor="text1"/>
                <w:spacing w:val="0"/>
                <w:sz w:val="21"/>
                <w:szCs w:val="21"/>
                <w14:textFill>
                  <w14:solidFill>
                    <w14:schemeClr w14:val="tx1"/>
                  </w14:solidFill>
                </w14:textFill>
              </w:rPr>
              <w:t>1</w:t>
            </w:r>
            <w:r>
              <w:rPr>
                <w:rFonts w:hint="eastAsia" w:ascii="新宋体" w:hAnsi="新宋体" w:eastAsia="新宋体" w:cs="仿宋"/>
                <w:color w:val="000000" w:themeColor="text1"/>
                <w:spacing w:val="0"/>
                <w:sz w:val="21"/>
                <w:szCs w:val="21"/>
                <w14:textFill>
                  <w14:solidFill>
                    <w14:schemeClr w14:val="tx1"/>
                  </w14:solidFill>
                </w14:textFill>
              </w:rPr>
              <w:t>分，直至本项分值扣完为止。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lang w:bidi="ar"/>
                <w14:textFill>
                  <w14:solidFill>
                    <w14:schemeClr w14:val="tx1"/>
                  </w14:solidFill>
                </w14:textFill>
              </w:rPr>
              <w:t>3</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总体方案</w:t>
            </w:r>
          </w:p>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w:t>
            </w:r>
            <w:r>
              <w:rPr>
                <w:rFonts w:ascii="新宋体" w:hAnsi="新宋体" w:eastAsia="新宋体" w:cs="仿宋"/>
                <w:color w:val="000000" w:themeColor="text1"/>
                <w:sz w:val="21"/>
                <w:szCs w:val="21"/>
                <w:lang w:bidi="ar"/>
                <w14:textFill>
                  <w14:solidFill>
                    <w14:schemeClr w14:val="tx1"/>
                  </w14:solidFill>
                </w14:textFill>
              </w:rPr>
              <w:t>15</w:t>
            </w:r>
            <w:r>
              <w:rPr>
                <w:rFonts w:hint="eastAsia" w:ascii="新宋体" w:hAnsi="新宋体" w:eastAsia="新宋体" w:cs="仿宋"/>
                <w:color w:val="000000" w:themeColor="text1"/>
                <w:sz w:val="21"/>
                <w:szCs w:val="21"/>
                <w:lang w:bidi="ar"/>
                <w14:textFill>
                  <w14:solidFill>
                    <w14:schemeClr w14:val="tx1"/>
                  </w14:solidFill>
                </w14:textFill>
              </w:rPr>
              <w:t>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ascii="新宋体" w:hAnsi="新宋体" w:eastAsia="新宋体" w:cs="仿宋"/>
                <w:color w:val="000000" w:themeColor="text1"/>
                <w:sz w:val="21"/>
                <w:szCs w:val="21"/>
                <w:lang w:bidi="ar"/>
                <w14:textFill>
                  <w14:solidFill>
                    <w14:schemeClr w14:val="tx1"/>
                  </w14:solidFill>
                </w14:textFill>
              </w:rPr>
              <w:t>15</w:t>
            </w:r>
            <w:r>
              <w:rPr>
                <w:rFonts w:hint="eastAsia" w:ascii="新宋体" w:hAnsi="新宋体" w:eastAsia="新宋体" w:cs="仿宋"/>
                <w:color w:val="000000" w:themeColor="text1"/>
                <w:sz w:val="21"/>
                <w:szCs w:val="21"/>
                <w:lang w:bidi="ar"/>
                <w14:textFill>
                  <w14:solidFill>
                    <w14:schemeClr w14:val="tx1"/>
                  </w14:solidFill>
                </w14:textFill>
              </w:rPr>
              <w:t>分</w:t>
            </w:r>
          </w:p>
        </w:tc>
        <w:tc>
          <w:tcPr>
            <w:tcW w:w="70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left"/>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供应商提供的总体方案包括但不限于：</w:t>
            </w:r>
          </w:p>
          <w:p>
            <w:pPr>
              <w:pStyle w:val="2"/>
              <w:ind w:left="0" w:leftChars="0" w:firstLine="0" w:firstLineChars="0"/>
              <w:rPr>
                <w:highlight w:val="yellow"/>
              </w:rPr>
            </w:pPr>
            <w:r>
              <w:rPr>
                <w:rFonts w:hint="eastAsia" w:ascii="新宋体" w:hAnsi="新宋体" w:eastAsia="新宋体" w:cs="仿宋"/>
                <w:color w:val="000000" w:themeColor="text1"/>
                <w:sz w:val="21"/>
                <w:szCs w:val="21"/>
                <w14:textFill>
                  <w14:solidFill>
                    <w14:schemeClr w14:val="tx1"/>
                  </w14:solidFill>
                </w14:textFill>
              </w:rPr>
              <w:t>①内容满足采购人实际需求；②对项目透彻分析；③实施和技术深入分析，针对性，可操作性；④保障措施；⑤管理水平。上述要求全部完善且合理的得15分，每有一项缺失或不完善、不合理的扣3分，直至本项分值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4</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项目实施</w:t>
            </w:r>
          </w:p>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w:t>
            </w:r>
            <w:r>
              <w:rPr>
                <w:rFonts w:ascii="新宋体" w:hAnsi="新宋体" w:eastAsia="新宋体" w:cs="仿宋"/>
                <w:color w:val="000000" w:themeColor="text1"/>
                <w:sz w:val="21"/>
                <w:szCs w:val="21"/>
                <w:lang w:bidi="ar"/>
                <w14:textFill>
                  <w14:solidFill>
                    <w14:schemeClr w14:val="tx1"/>
                  </w14:solidFill>
                </w14:textFill>
              </w:rPr>
              <w:t>12</w:t>
            </w:r>
            <w:r>
              <w:rPr>
                <w:rFonts w:hint="eastAsia" w:ascii="新宋体" w:hAnsi="新宋体" w:eastAsia="新宋体" w:cs="仿宋"/>
                <w:color w:val="000000" w:themeColor="text1"/>
                <w:sz w:val="21"/>
                <w:szCs w:val="21"/>
                <w:lang w:bidi="ar"/>
                <w14:textFill>
                  <w14:solidFill>
                    <w14:schemeClr w14:val="tx1"/>
                  </w14:solidFill>
                </w14:textFill>
              </w:rPr>
              <w:t>分）</w:t>
            </w:r>
          </w:p>
          <w:p>
            <w:pPr>
              <w:pStyle w:val="2"/>
              <w:ind w:left="680" w:firstLine="680"/>
              <w:rPr>
                <w:lang w:bidi="ar"/>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1</w:t>
            </w:r>
            <w:r>
              <w:rPr>
                <w:rFonts w:ascii="新宋体" w:hAnsi="新宋体" w:eastAsia="新宋体" w:cs="仿宋"/>
                <w:color w:val="000000" w:themeColor="text1"/>
                <w:sz w:val="21"/>
                <w:szCs w:val="21"/>
                <w:lang w:bidi="ar"/>
                <w14:textFill>
                  <w14:solidFill>
                    <w14:schemeClr w14:val="tx1"/>
                  </w14:solidFill>
                </w14:textFill>
              </w:rPr>
              <w:t>2</w:t>
            </w:r>
            <w:r>
              <w:rPr>
                <w:rFonts w:hint="eastAsia" w:ascii="新宋体" w:hAnsi="新宋体" w:eastAsia="新宋体" w:cs="仿宋"/>
                <w:color w:val="000000" w:themeColor="text1"/>
                <w:sz w:val="21"/>
                <w:szCs w:val="21"/>
                <w:lang w:bidi="ar"/>
                <w14:textFill>
                  <w14:solidFill>
                    <w14:schemeClr w14:val="tx1"/>
                  </w14:solidFill>
                </w14:textFill>
              </w:rPr>
              <w:t>分</w:t>
            </w:r>
          </w:p>
        </w:tc>
        <w:tc>
          <w:tcPr>
            <w:tcW w:w="70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jc w:val="left"/>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供应商提供的项目实施包括但不限于：</w:t>
            </w:r>
          </w:p>
          <w:p>
            <w:pPr>
              <w:pStyle w:val="2"/>
              <w:numPr>
                <w:ilvl w:val="0"/>
                <w:numId w:val="4"/>
              </w:numPr>
              <w:ind w:leftChars="0" w:firstLineChars="0"/>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项目进度安排；②各阶段成果的计划；③各方协调预案；④售后保证措施。上述要求全部完善且合理的得1</w:t>
            </w:r>
            <w:r>
              <w:rPr>
                <w:rFonts w:hint="eastAsia" w:ascii="新宋体" w:hAnsi="新宋体" w:eastAsia="新宋体" w:cs="仿宋"/>
                <w:color w:val="000000" w:themeColor="text1"/>
                <w:sz w:val="21"/>
                <w:szCs w:val="21"/>
                <w:lang w:val="en-US" w:eastAsia="zh-CN"/>
                <w14:textFill>
                  <w14:solidFill>
                    <w14:schemeClr w14:val="tx1"/>
                  </w14:solidFill>
                </w14:textFill>
              </w:rPr>
              <w:t>2</w:t>
            </w:r>
            <w:r>
              <w:rPr>
                <w:rFonts w:hint="eastAsia" w:ascii="新宋体" w:hAnsi="新宋体" w:eastAsia="新宋体" w:cs="仿宋"/>
                <w:color w:val="000000" w:themeColor="text1"/>
                <w:sz w:val="21"/>
                <w:szCs w:val="21"/>
                <w14:textFill>
                  <w14:solidFill>
                    <w14:schemeClr w14:val="tx1"/>
                  </w14:solidFill>
                </w14:textFill>
              </w:rPr>
              <w:t>分，每有一项缺失或不完善、不合理的扣</w:t>
            </w:r>
            <w:r>
              <w:rPr>
                <w:rFonts w:ascii="新宋体" w:hAnsi="新宋体" w:eastAsia="新宋体" w:cs="仿宋"/>
                <w:color w:val="000000" w:themeColor="text1"/>
                <w:sz w:val="21"/>
                <w:szCs w:val="21"/>
                <w14:textFill>
                  <w14:solidFill>
                    <w14:schemeClr w14:val="tx1"/>
                  </w14:solidFill>
                </w14:textFill>
              </w:rPr>
              <w:t>3</w:t>
            </w:r>
            <w:r>
              <w:rPr>
                <w:rFonts w:hint="eastAsia" w:ascii="新宋体" w:hAnsi="新宋体" w:eastAsia="新宋体" w:cs="仿宋"/>
                <w:color w:val="000000" w:themeColor="text1"/>
                <w:sz w:val="21"/>
                <w:szCs w:val="21"/>
                <w14:textFill>
                  <w14:solidFill>
                    <w14:schemeClr w14:val="tx1"/>
                  </w14:solidFill>
                </w14:textFill>
              </w:rPr>
              <w:t>分，直至本项分值扣完为止。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1"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lang w:bidi="ar"/>
                <w14:textFill>
                  <w14:solidFill>
                    <w14:schemeClr w14:val="tx1"/>
                  </w14:solidFill>
                </w14:textFill>
              </w:rPr>
              <w:t>5</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lang w:bidi="ar"/>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综合实力</w:t>
            </w:r>
          </w:p>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w:t>
            </w:r>
            <w:r>
              <w:rPr>
                <w:rFonts w:ascii="新宋体" w:hAnsi="新宋体" w:eastAsia="新宋体" w:cs="仿宋"/>
                <w:color w:val="000000" w:themeColor="text1"/>
                <w:sz w:val="21"/>
                <w:szCs w:val="21"/>
                <w:lang w:bidi="ar"/>
                <w14:textFill>
                  <w14:solidFill>
                    <w14:schemeClr w14:val="tx1"/>
                  </w14:solidFill>
                </w14:textFill>
              </w:rPr>
              <w:t>4</w:t>
            </w:r>
            <w:r>
              <w:rPr>
                <w:rFonts w:hint="eastAsia" w:ascii="新宋体" w:hAnsi="新宋体" w:eastAsia="新宋体" w:cs="仿宋"/>
                <w:color w:val="000000" w:themeColor="text1"/>
                <w:sz w:val="21"/>
                <w:szCs w:val="21"/>
                <w:lang w:bidi="ar"/>
                <w14:textFill>
                  <w14:solidFill>
                    <w14:schemeClr w14:val="tx1"/>
                  </w14:solidFill>
                </w14:textFill>
              </w:rPr>
              <w:t>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lang w:bidi="ar"/>
                <w14:textFill>
                  <w14:solidFill>
                    <w14:schemeClr w14:val="tx1"/>
                  </w14:solidFill>
                </w14:textFill>
              </w:rPr>
              <w:t>4分</w:t>
            </w:r>
          </w:p>
        </w:tc>
        <w:tc>
          <w:tcPr>
            <w:tcW w:w="708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供应商具备自主研发问卷系统，提供计算机软件著作权登记证书得2分；提供AAA级及以上企业信用等级证书得2分。未提供或其他不得分。</w:t>
            </w:r>
          </w:p>
          <w:p>
            <w:pPr>
              <w:spacing w:line="460" w:lineRule="exact"/>
            </w:pPr>
            <w:r>
              <w:rPr>
                <w:rFonts w:hint="eastAsia" w:ascii="新宋体" w:hAnsi="新宋体" w:eastAsia="新宋体" w:cs="仿宋"/>
                <w:color w:val="000000" w:themeColor="text1"/>
                <w:sz w:val="21"/>
                <w:szCs w:val="21"/>
                <w14:textFill>
                  <w14:solidFill>
                    <w14:schemeClr w14:val="tx1"/>
                  </w14:solidFill>
                </w14:textFill>
              </w:rPr>
              <w:t>注：供应商提供相关证明材料复印件并加盖单位鲜章。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14:textFill>
                  <w14:solidFill>
                    <w14:schemeClr w14:val="tx1"/>
                  </w14:solidFill>
                </w14:textFill>
              </w:rPr>
              <w:t>6</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履约能力</w:t>
            </w:r>
          </w:p>
          <w:p>
            <w:pPr>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w:t>
            </w:r>
            <w:r>
              <w:rPr>
                <w:rFonts w:ascii="新宋体" w:hAnsi="新宋体" w:eastAsia="新宋体" w:cs="仿宋"/>
                <w:color w:val="000000" w:themeColor="text1"/>
                <w:sz w:val="21"/>
                <w:szCs w:val="21"/>
                <w14:textFill>
                  <w14:solidFill>
                    <w14:schemeClr w14:val="tx1"/>
                  </w14:solidFill>
                </w14:textFill>
              </w:rPr>
              <w:t>8</w:t>
            </w:r>
            <w:r>
              <w:rPr>
                <w:rFonts w:hint="eastAsia" w:ascii="新宋体" w:hAnsi="新宋体" w:eastAsia="新宋体" w:cs="仿宋"/>
                <w:color w:val="000000" w:themeColor="text1"/>
                <w:sz w:val="21"/>
                <w:szCs w:val="21"/>
                <w14:textFill>
                  <w14:solidFill>
                    <w14:schemeClr w14:val="tx1"/>
                  </w14:solidFill>
                </w14:textFill>
              </w:rPr>
              <w:t>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lang w:bidi="ar"/>
                <w14:textFill>
                  <w14:solidFill>
                    <w14:schemeClr w14:val="tx1"/>
                  </w14:solidFill>
                </w14:textFill>
              </w:rPr>
              <w:t>8</w:t>
            </w:r>
            <w:r>
              <w:rPr>
                <w:rFonts w:hint="eastAsia" w:ascii="新宋体" w:hAnsi="新宋体" w:eastAsia="新宋体" w:cs="仿宋"/>
                <w:color w:val="000000" w:themeColor="text1"/>
                <w:sz w:val="21"/>
                <w:szCs w:val="21"/>
                <w:lang w:bidi="ar"/>
                <w14:textFill>
                  <w14:solidFill>
                    <w14:schemeClr w14:val="tx1"/>
                  </w14:solidFill>
                </w14:textFill>
              </w:rPr>
              <w:t>分</w:t>
            </w:r>
          </w:p>
        </w:tc>
        <w:tc>
          <w:tcPr>
            <w:tcW w:w="708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1.供应商具有有效的质量管理体系认证证书得</w:t>
            </w:r>
            <w:r>
              <w:rPr>
                <w:rFonts w:ascii="新宋体" w:hAnsi="新宋体" w:eastAsia="新宋体" w:cs="仿宋"/>
                <w:color w:val="000000" w:themeColor="text1"/>
                <w:sz w:val="21"/>
                <w:szCs w:val="21"/>
                <w14:textFill>
                  <w14:solidFill>
                    <w14:schemeClr w14:val="tx1"/>
                  </w14:solidFill>
                </w14:textFill>
              </w:rPr>
              <w:t>4</w:t>
            </w:r>
            <w:r>
              <w:rPr>
                <w:rFonts w:hint="eastAsia" w:ascii="新宋体" w:hAnsi="新宋体" w:eastAsia="新宋体" w:cs="仿宋"/>
                <w:color w:val="000000" w:themeColor="text1"/>
                <w:sz w:val="21"/>
                <w:szCs w:val="21"/>
                <w14:textFill>
                  <w14:solidFill>
                    <w14:schemeClr w14:val="tx1"/>
                  </w14:solidFill>
                </w14:textFill>
              </w:rPr>
              <w:t>分，不提供不得分。</w:t>
            </w:r>
          </w:p>
          <w:p>
            <w:pPr>
              <w:spacing w:line="460" w:lineRule="exact"/>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14:textFill>
                  <w14:solidFill>
                    <w14:schemeClr w14:val="tx1"/>
                  </w14:solidFill>
                </w14:textFill>
              </w:rPr>
              <w:t>2</w:t>
            </w:r>
            <w:r>
              <w:rPr>
                <w:rFonts w:hint="eastAsia" w:ascii="新宋体" w:hAnsi="新宋体" w:eastAsia="新宋体" w:cs="仿宋"/>
                <w:color w:val="000000" w:themeColor="text1"/>
                <w:sz w:val="21"/>
                <w:szCs w:val="21"/>
                <w14:textFill>
                  <w14:solidFill>
                    <w14:schemeClr w14:val="tx1"/>
                  </w14:solidFill>
                </w14:textFill>
              </w:rPr>
              <w:t>.供应商具有有效的信息安全管理体系认证证书得</w:t>
            </w:r>
            <w:r>
              <w:rPr>
                <w:rFonts w:ascii="新宋体" w:hAnsi="新宋体" w:eastAsia="新宋体" w:cs="仿宋"/>
                <w:color w:val="000000" w:themeColor="text1"/>
                <w:sz w:val="21"/>
                <w:szCs w:val="21"/>
                <w14:textFill>
                  <w14:solidFill>
                    <w14:schemeClr w14:val="tx1"/>
                  </w14:solidFill>
                </w14:textFill>
              </w:rPr>
              <w:t>4</w:t>
            </w:r>
            <w:r>
              <w:rPr>
                <w:rFonts w:hint="eastAsia" w:ascii="新宋体" w:hAnsi="新宋体" w:eastAsia="新宋体" w:cs="仿宋"/>
                <w:color w:val="000000" w:themeColor="text1"/>
                <w:sz w:val="21"/>
                <w:szCs w:val="21"/>
                <w14:textFill>
                  <w14:solidFill>
                    <w14:schemeClr w14:val="tx1"/>
                  </w14:solidFill>
                </w14:textFill>
              </w:rPr>
              <w:t>分，不提供不得分。</w:t>
            </w:r>
          </w:p>
          <w:p>
            <w:pPr>
              <w:spacing w:line="460" w:lineRule="exact"/>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注：供应商提供相关证明材料复印件并加盖单位鲜章。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14:textFill>
                  <w14:solidFill>
                    <w14:schemeClr w14:val="tx1"/>
                  </w14:solidFill>
                </w14:textFill>
              </w:rPr>
              <w:t>7</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类似业绩（</w:t>
            </w:r>
            <w:r>
              <w:rPr>
                <w:rFonts w:ascii="新宋体" w:hAnsi="新宋体" w:eastAsia="新宋体" w:cs="仿宋"/>
                <w:color w:val="000000" w:themeColor="text1"/>
                <w:sz w:val="21"/>
                <w:szCs w:val="21"/>
                <w14:textFill>
                  <w14:solidFill>
                    <w14:schemeClr w14:val="tx1"/>
                  </w14:solidFill>
                </w14:textFill>
              </w:rPr>
              <w:t>16</w:t>
            </w:r>
            <w:r>
              <w:rPr>
                <w:rFonts w:hint="eastAsia" w:ascii="新宋体" w:hAnsi="新宋体" w:eastAsia="新宋体" w:cs="仿宋"/>
                <w:color w:val="000000" w:themeColor="text1"/>
                <w:sz w:val="21"/>
                <w:szCs w:val="21"/>
                <w14:textFill>
                  <w14:solidFill>
                    <w14:schemeClr w14:val="tx1"/>
                  </w14:solidFill>
                </w14:textFill>
              </w:rPr>
              <w:t>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14:textFill>
                  <w14:solidFill>
                    <w14:schemeClr w14:val="tx1"/>
                  </w14:solidFill>
                </w14:textFill>
              </w:rPr>
              <w:t>16</w:t>
            </w:r>
            <w:r>
              <w:rPr>
                <w:rFonts w:hint="eastAsia" w:ascii="新宋体" w:hAnsi="新宋体" w:eastAsia="新宋体" w:cs="仿宋"/>
                <w:color w:val="000000" w:themeColor="text1"/>
                <w:sz w:val="21"/>
                <w:szCs w:val="21"/>
                <w14:textFill>
                  <w14:solidFill>
                    <w14:schemeClr w14:val="tx1"/>
                  </w14:solidFill>
                </w14:textFill>
              </w:rPr>
              <w:t>分</w:t>
            </w:r>
          </w:p>
        </w:tc>
        <w:tc>
          <w:tcPr>
            <w:tcW w:w="708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lang w:val="en-GB"/>
                <w14:textFill>
                  <w14:solidFill>
                    <w14:schemeClr w14:val="tx1"/>
                  </w14:solidFill>
                </w14:textFill>
              </w:rPr>
              <w:t>提供2018年1月1日以来</w:t>
            </w:r>
            <w:r>
              <w:rPr>
                <w:rFonts w:hint="eastAsia" w:ascii="新宋体" w:hAnsi="新宋体" w:eastAsia="新宋体" w:cs="仿宋"/>
                <w:color w:val="000000" w:themeColor="text1"/>
                <w:sz w:val="21"/>
                <w:szCs w:val="21"/>
                <w14:textFill>
                  <w14:solidFill>
                    <w14:schemeClr w14:val="tx1"/>
                  </w14:solidFill>
                </w14:textFill>
              </w:rPr>
              <w:t>完成的类似业绩，每提供一个得</w:t>
            </w:r>
            <w:r>
              <w:rPr>
                <w:rFonts w:ascii="新宋体" w:hAnsi="新宋体" w:eastAsia="新宋体" w:cs="仿宋"/>
                <w:color w:val="000000" w:themeColor="text1"/>
                <w:sz w:val="21"/>
                <w:szCs w:val="21"/>
                <w14:textFill>
                  <w14:solidFill>
                    <w14:schemeClr w14:val="tx1"/>
                  </w14:solidFill>
                </w14:textFill>
              </w:rPr>
              <w:t>2</w:t>
            </w:r>
            <w:r>
              <w:rPr>
                <w:rFonts w:hint="eastAsia" w:ascii="新宋体" w:hAnsi="新宋体" w:eastAsia="新宋体" w:cs="仿宋"/>
                <w:color w:val="000000" w:themeColor="text1"/>
                <w:sz w:val="21"/>
                <w:szCs w:val="21"/>
                <w14:textFill>
                  <w14:solidFill>
                    <w14:schemeClr w14:val="tx1"/>
                  </w14:solidFill>
                </w14:textFill>
              </w:rPr>
              <w:t>分，本项最多得</w:t>
            </w:r>
            <w:r>
              <w:rPr>
                <w:rFonts w:ascii="新宋体" w:hAnsi="新宋体" w:eastAsia="新宋体" w:cs="仿宋"/>
                <w:color w:val="000000" w:themeColor="text1"/>
                <w:sz w:val="21"/>
                <w:szCs w:val="21"/>
                <w14:textFill>
                  <w14:solidFill>
                    <w14:schemeClr w14:val="tx1"/>
                  </w14:solidFill>
                </w14:textFill>
              </w:rPr>
              <w:t>16</w:t>
            </w:r>
            <w:r>
              <w:rPr>
                <w:rFonts w:hint="eastAsia" w:ascii="新宋体" w:hAnsi="新宋体" w:eastAsia="新宋体" w:cs="仿宋"/>
                <w:color w:val="000000" w:themeColor="text1"/>
                <w:sz w:val="21"/>
                <w:szCs w:val="21"/>
                <w14:textFill>
                  <w14:solidFill>
                    <w14:schemeClr w14:val="tx1"/>
                  </w14:solidFill>
                </w14:textFill>
              </w:rPr>
              <w:t>分。</w:t>
            </w:r>
          </w:p>
          <w:p>
            <w:pPr>
              <w:spacing w:line="460" w:lineRule="exact"/>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注</w:t>
            </w:r>
            <w:r>
              <w:rPr>
                <w:rFonts w:hint="eastAsia" w:ascii="新宋体" w:hAnsi="新宋体" w:eastAsia="新宋体" w:cs="仿宋"/>
                <w:color w:val="000000" w:themeColor="text1"/>
                <w:sz w:val="21"/>
                <w:szCs w:val="21"/>
                <w:lang w:val="zh-CN"/>
                <w14:textFill>
                  <w14:solidFill>
                    <w14:schemeClr w14:val="tx1"/>
                  </w14:solidFill>
                </w14:textFill>
              </w:rPr>
              <w:t>：</w:t>
            </w:r>
            <w:r>
              <w:rPr>
                <w:rFonts w:hint="eastAsia" w:ascii="新宋体" w:hAnsi="新宋体" w:eastAsia="新宋体" w:cs="仿宋"/>
                <w:color w:val="000000" w:themeColor="text1"/>
                <w:sz w:val="21"/>
                <w:szCs w:val="21"/>
                <w14:textFill>
                  <w14:solidFill>
                    <w14:schemeClr w14:val="tx1"/>
                  </w14:solidFill>
                </w14:textFill>
              </w:rPr>
              <w:t>供应商</w:t>
            </w:r>
            <w:r>
              <w:rPr>
                <w:rFonts w:hint="eastAsia" w:ascii="新宋体" w:hAnsi="新宋体" w:eastAsia="新宋体" w:cs="仿宋"/>
                <w:color w:val="000000" w:themeColor="text1"/>
                <w:sz w:val="21"/>
                <w:szCs w:val="21"/>
                <w:lang w:val="zh-CN"/>
                <w14:textFill>
                  <w14:solidFill>
                    <w14:schemeClr w14:val="tx1"/>
                  </w14:solidFill>
                </w14:textFill>
              </w:rPr>
              <w:t>提供项目中标/成交通知书或合同复印件并加盖单位鲜章。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28"/>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14:textFill>
                  <w14:solidFill>
                    <w14:schemeClr w14:val="tx1"/>
                  </w14:solidFill>
                </w14:textFill>
              </w:rPr>
              <w:t>8</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响应文件规范性</w:t>
            </w:r>
          </w:p>
          <w:p>
            <w:pPr>
              <w:widowControl/>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w:t>
            </w:r>
            <w:r>
              <w:rPr>
                <w:rFonts w:ascii="新宋体" w:hAnsi="新宋体" w:eastAsia="新宋体" w:cs="仿宋"/>
                <w:color w:val="000000" w:themeColor="text1"/>
                <w:sz w:val="21"/>
                <w:szCs w:val="21"/>
                <w14:textFill>
                  <w14:solidFill>
                    <w14:schemeClr w14:val="tx1"/>
                  </w14:solidFill>
                </w14:textFill>
              </w:rPr>
              <w:t>2</w:t>
            </w:r>
            <w:r>
              <w:rPr>
                <w:rFonts w:hint="eastAsia" w:ascii="新宋体" w:hAnsi="新宋体" w:eastAsia="新宋体" w:cs="仿宋"/>
                <w:color w:val="000000" w:themeColor="text1"/>
                <w:sz w:val="21"/>
                <w:szCs w:val="21"/>
                <w14:textFill>
                  <w14:solidFill>
                    <w14:schemeClr w14:val="tx1"/>
                  </w14:solidFill>
                </w14:textFill>
              </w:rPr>
              <w:t>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新宋体" w:hAnsi="新宋体" w:eastAsia="新宋体" w:cs="仿宋"/>
                <w:color w:val="000000" w:themeColor="text1"/>
                <w:sz w:val="21"/>
                <w:szCs w:val="21"/>
                <w14:textFill>
                  <w14:solidFill>
                    <w14:schemeClr w14:val="tx1"/>
                  </w14:solidFill>
                </w14:textFill>
              </w:rPr>
            </w:pPr>
            <w:r>
              <w:rPr>
                <w:rFonts w:ascii="新宋体" w:hAnsi="新宋体" w:eastAsia="新宋体" w:cs="仿宋"/>
                <w:color w:val="000000" w:themeColor="text1"/>
                <w:sz w:val="21"/>
                <w:szCs w:val="21"/>
                <w14:textFill>
                  <w14:solidFill>
                    <w14:schemeClr w14:val="tx1"/>
                  </w14:solidFill>
                </w14:textFill>
              </w:rPr>
              <w:t>2</w:t>
            </w:r>
            <w:r>
              <w:rPr>
                <w:rFonts w:hint="eastAsia" w:ascii="新宋体" w:hAnsi="新宋体" w:eastAsia="新宋体" w:cs="仿宋"/>
                <w:color w:val="000000" w:themeColor="text1"/>
                <w:sz w:val="21"/>
                <w:szCs w:val="21"/>
                <w14:textFill>
                  <w14:solidFill>
                    <w14:schemeClr w14:val="tx1"/>
                  </w14:solidFill>
                </w14:textFill>
              </w:rPr>
              <w:t>分</w:t>
            </w:r>
          </w:p>
        </w:tc>
        <w:tc>
          <w:tcPr>
            <w:tcW w:w="708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新宋体" w:hAnsi="新宋体" w:eastAsia="新宋体" w:cs="仿宋"/>
                <w:color w:val="000000" w:themeColor="text1"/>
                <w:sz w:val="21"/>
                <w:szCs w:val="21"/>
                <w14:textFill>
                  <w14:solidFill>
                    <w14:schemeClr w14:val="tx1"/>
                  </w14:solidFill>
                </w14:textFill>
              </w:rPr>
            </w:pPr>
            <w:r>
              <w:rPr>
                <w:rFonts w:hint="eastAsia" w:ascii="新宋体" w:hAnsi="新宋体" w:eastAsia="新宋体" w:cs="仿宋"/>
                <w:color w:val="000000" w:themeColor="text1"/>
                <w:sz w:val="21"/>
                <w:szCs w:val="21"/>
                <w14:textFill>
                  <w14:solidFill>
                    <w14:schemeClr w14:val="tx1"/>
                  </w14:solidFill>
                </w14:textFill>
              </w:rPr>
              <w:t>响应文件制作规范，没有细微偏差情形的得</w:t>
            </w:r>
            <w:r>
              <w:rPr>
                <w:rFonts w:ascii="新宋体" w:hAnsi="新宋体" w:eastAsia="新宋体" w:cs="仿宋"/>
                <w:color w:val="000000" w:themeColor="text1"/>
                <w:sz w:val="21"/>
                <w:szCs w:val="21"/>
                <w14:textFill>
                  <w14:solidFill>
                    <w14:schemeClr w14:val="tx1"/>
                  </w14:solidFill>
                </w14:textFill>
              </w:rPr>
              <w:t>2</w:t>
            </w:r>
            <w:r>
              <w:rPr>
                <w:rFonts w:hint="eastAsia" w:ascii="新宋体" w:hAnsi="新宋体" w:eastAsia="新宋体" w:cs="仿宋"/>
                <w:color w:val="000000" w:themeColor="text1"/>
                <w:sz w:val="21"/>
                <w:szCs w:val="21"/>
                <w14:textFill>
                  <w14:solidFill>
                    <w14:schemeClr w14:val="tx1"/>
                  </w14:solidFill>
                </w14:textFill>
              </w:rPr>
              <w:t>分；有一项细微偏差扣0.5分，直至本项分值扣完为止。</w:t>
            </w:r>
          </w:p>
        </w:tc>
      </w:tr>
      <w:bookmarkEnd w:id="52"/>
    </w:tbl>
    <w:p>
      <w:pPr>
        <w:rPr>
          <w:rFonts w:hAnsi="宋体" w:cs="宋体"/>
          <w:sz w:val="24"/>
          <w:szCs w:val="24"/>
        </w:rPr>
      </w:pPr>
    </w:p>
    <w:p>
      <w:pPr>
        <w:pStyle w:val="2"/>
        <w:ind w:left="680" w:firstLine="480"/>
        <w:rPr>
          <w:rFonts w:hAnsi="宋体" w:cs="宋体"/>
          <w:sz w:val="24"/>
          <w:szCs w:val="24"/>
        </w:rPr>
      </w:pPr>
    </w:p>
    <w:p>
      <w:pPr>
        <w:pStyle w:val="4"/>
        <w:numPr>
          <w:ilvl w:val="0"/>
          <w:numId w:val="5"/>
        </w:numPr>
        <w:snapToGrid w:val="0"/>
        <w:spacing w:before="0" w:after="0" w:line="240" w:lineRule="auto"/>
        <w:ind w:left="360" w:firstLine="2891" w:firstLineChars="900"/>
        <w:rPr>
          <w:rFonts w:hAnsi="宋体"/>
          <w:sz w:val="32"/>
          <w:szCs w:val="32"/>
        </w:rPr>
      </w:pPr>
      <w:r>
        <w:rPr>
          <w:rFonts w:hAnsi="宋体"/>
          <w:sz w:val="32"/>
          <w:szCs w:val="32"/>
        </w:rPr>
        <w:t xml:space="preserve"> </w:t>
      </w:r>
      <w:bookmarkStart w:id="139" w:name="_Toc116221031"/>
      <w:r>
        <w:rPr>
          <w:rFonts w:hint="eastAsia" w:hAnsi="宋体"/>
          <w:sz w:val="32"/>
          <w:szCs w:val="32"/>
          <w:lang w:val="en-US" w:eastAsia="zh-CN"/>
        </w:rPr>
        <w:t xml:space="preserve"> </w:t>
      </w:r>
      <w:bookmarkStart w:id="140" w:name="_Toc6928"/>
      <w:r>
        <w:rPr>
          <w:rFonts w:hint="eastAsia" w:hAnsi="宋体"/>
          <w:sz w:val="32"/>
          <w:szCs w:val="32"/>
        </w:rPr>
        <w:t>合同条款</w:t>
      </w:r>
      <w:bookmarkEnd w:id="139"/>
      <w:bookmarkEnd w:id="140"/>
    </w:p>
    <w:p>
      <w:r>
        <w:rPr>
          <w:rFonts w:hint="eastAsia"/>
        </w:rPr>
        <w:t xml:space="preserve">                （根据双方协商签订）</w:t>
      </w: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等线 Ligh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Ansi="宋体"/>
      </w:rPr>
    </w:pPr>
    <w:r>
      <w:rPr>
        <w:rFonts w:hint="eastAsia" w:hAnsi="宋体"/>
      </w:rPr>
      <w:t>四川铁道职业学院2</w:t>
    </w:r>
    <w:r>
      <w:rPr>
        <w:rFonts w:hAnsi="宋体"/>
      </w:rPr>
      <w:t>022</w:t>
    </w:r>
    <w:r>
      <w:rPr>
        <w:rFonts w:hint="eastAsia" w:hAnsi="宋体"/>
      </w:rPr>
      <w:t>届毕业生就业质量报告撰写印刷项目－招标文件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DC392B95"/>
    <w:multiLevelType w:val="singleLevel"/>
    <w:tmpl w:val="DC392B95"/>
    <w:lvl w:ilvl="0" w:tentative="0">
      <w:start w:val="6"/>
      <w:numFmt w:val="chineseCounting"/>
      <w:suff w:val="space"/>
      <w:lvlText w:val="第%1章"/>
      <w:lvlJc w:val="left"/>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214A4A89"/>
    <w:multiLevelType w:val="multilevel"/>
    <w:tmpl w:val="214A4A8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595EB7"/>
    <w:multiLevelType w:val="multilevel"/>
    <w:tmpl w:val="26595E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836D39"/>
    <w:rsid w:val="00017E4D"/>
    <w:rsid w:val="00031861"/>
    <w:rsid w:val="000C23BB"/>
    <w:rsid w:val="00185E76"/>
    <w:rsid w:val="00286F92"/>
    <w:rsid w:val="00387303"/>
    <w:rsid w:val="003E3256"/>
    <w:rsid w:val="00522102"/>
    <w:rsid w:val="00560297"/>
    <w:rsid w:val="00574D3F"/>
    <w:rsid w:val="006562DC"/>
    <w:rsid w:val="006C71FC"/>
    <w:rsid w:val="00731030"/>
    <w:rsid w:val="007E71E0"/>
    <w:rsid w:val="00821967"/>
    <w:rsid w:val="008257BD"/>
    <w:rsid w:val="00836D39"/>
    <w:rsid w:val="00867E33"/>
    <w:rsid w:val="008864F1"/>
    <w:rsid w:val="008D3B93"/>
    <w:rsid w:val="009B4D0A"/>
    <w:rsid w:val="00A9408C"/>
    <w:rsid w:val="00AA49C9"/>
    <w:rsid w:val="00BA6056"/>
    <w:rsid w:val="00CA7E9F"/>
    <w:rsid w:val="00D13CE5"/>
    <w:rsid w:val="00D94518"/>
    <w:rsid w:val="00DB7912"/>
    <w:rsid w:val="00E21B7A"/>
    <w:rsid w:val="00E26D81"/>
    <w:rsid w:val="00EA30A7"/>
    <w:rsid w:val="00F2122F"/>
    <w:rsid w:val="0C8E45A1"/>
    <w:rsid w:val="0DE75ECF"/>
    <w:rsid w:val="17FB28F4"/>
    <w:rsid w:val="1825575B"/>
    <w:rsid w:val="216109DA"/>
    <w:rsid w:val="243F16A5"/>
    <w:rsid w:val="260C5C1F"/>
    <w:rsid w:val="2D0A14EA"/>
    <w:rsid w:val="2D436728"/>
    <w:rsid w:val="4585111C"/>
    <w:rsid w:val="51404C2B"/>
    <w:rsid w:val="53A95E5E"/>
    <w:rsid w:val="570566FB"/>
    <w:rsid w:val="5FD341D2"/>
    <w:rsid w:val="609C14ED"/>
    <w:rsid w:val="6AFE2335"/>
    <w:rsid w:val="6D1A6A51"/>
    <w:rsid w:val="73EE11BD"/>
    <w:rsid w:val="76AD3A01"/>
    <w:rsid w:val="7A9279F6"/>
    <w:rsid w:val="7E50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kern w:val="0"/>
      <w:sz w:val="34"/>
      <w:szCs w:val="20"/>
      <w:lang w:val="en-US" w:eastAsia="zh-CN" w:bidi="ar-SA"/>
    </w:rPr>
  </w:style>
  <w:style w:type="paragraph" w:styleId="4">
    <w:name w:val="heading 1"/>
    <w:basedOn w:val="1"/>
    <w:next w:val="1"/>
    <w:link w:val="25"/>
    <w:qFormat/>
    <w:uiPriority w:val="0"/>
    <w:pPr>
      <w:keepNext/>
      <w:keepLines/>
      <w:spacing w:before="340" w:after="330" w:line="578" w:lineRule="auto"/>
      <w:outlineLvl w:val="0"/>
    </w:pPr>
    <w:rPr>
      <w:b/>
      <w:kern w:val="44"/>
      <w:sz w:val="44"/>
      <w:szCs w:val="44"/>
    </w:rPr>
  </w:style>
  <w:style w:type="paragraph" w:styleId="5">
    <w:name w:val="heading 2"/>
    <w:basedOn w:val="1"/>
    <w:next w:val="1"/>
    <w:link w:val="26"/>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link w:val="22"/>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
    <w:unhideWhenUsed/>
    <w:qFormat/>
    <w:uiPriority w:val="99"/>
    <w:pPr>
      <w:ind w:firstLine="420" w:firstLineChars="200"/>
    </w:pPr>
  </w:style>
  <w:style w:type="paragraph" w:styleId="3">
    <w:name w:val="Body Text Indent"/>
    <w:basedOn w:val="1"/>
    <w:link w:val="27"/>
    <w:unhideWhenUsed/>
    <w:qFormat/>
    <w:uiPriority w:val="0"/>
    <w:pPr>
      <w:spacing w:after="120"/>
      <w:ind w:left="420" w:leftChars="200"/>
    </w:pPr>
  </w:style>
  <w:style w:type="paragraph" w:styleId="7">
    <w:name w:val="Normal Indent"/>
    <w:basedOn w:val="1"/>
    <w:link w:val="30"/>
    <w:qFormat/>
    <w:uiPriority w:val="0"/>
    <w:pPr>
      <w:ind w:firstLine="420" w:firstLineChars="200"/>
    </w:pPr>
    <w:rPr>
      <w:rFonts w:ascii="Times New Roman"/>
      <w:kern w:val="2"/>
      <w:sz w:val="21"/>
      <w:szCs w:val="24"/>
    </w:rPr>
  </w:style>
  <w:style w:type="paragraph" w:styleId="8">
    <w:name w:val="caption"/>
    <w:basedOn w:val="1"/>
    <w:next w:val="1"/>
    <w:unhideWhenUsed/>
    <w:qFormat/>
    <w:uiPriority w:val="35"/>
    <w:rPr>
      <w:rFonts w:eastAsia="黑体" w:asciiTheme="majorHAnsi" w:hAnsiTheme="majorHAnsi" w:cstheme="majorBidi"/>
      <w:sz w:val="20"/>
    </w:rPr>
  </w:style>
  <w:style w:type="paragraph" w:styleId="9">
    <w:name w:val="toc 3"/>
    <w:basedOn w:val="1"/>
    <w:next w:val="1"/>
    <w:semiHidden/>
    <w:unhideWhenUsed/>
    <w:qFormat/>
    <w:uiPriority w:val="39"/>
    <w:pPr>
      <w:ind w:left="840" w:leftChars="400"/>
    </w:pPr>
  </w:style>
  <w:style w:type="paragraph" w:styleId="10">
    <w:name w:val="Body Text Indent 2"/>
    <w:basedOn w:val="1"/>
    <w:link w:val="29"/>
    <w:qFormat/>
    <w:uiPriority w:val="0"/>
    <w:pPr>
      <w:ind w:firstLine="630"/>
    </w:pPr>
    <w:rPr>
      <w:sz w:val="32"/>
      <w:szCs w:val="32"/>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hAnsi="宋体"/>
      <w:sz w:val="18"/>
      <w:szCs w:val="18"/>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rFonts w:ascii="Times New Roman" w:hAnsi="Times New Roman" w:eastAsia="宋体" w:cs="Times New Roman"/>
      <w:b/>
      <w:bCs/>
    </w:rPr>
  </w:style>
  <w:style w:type="character" w:styleId="20">
    <w:name w:val="Hyperlink"/>
    <w:qFormat/>
    <w:uiPriority w:val="99"/>
    <w:rPr>
      <w:rFonts w:ascii="Times New Roman" w:hAnsi="Times New Roman" w:eastAsia="宋体" w:cs="Times New Roman"/>
      <w:color w:val="0000FF"/>
      <w:u w:val="single"/>
    </w:rPr>
  </w:style>
  <w:style w:type="paragraph" w:customStyle="1" w:styleId="21">
    <w:name w:val="样式1"/>
    <w:basedOn w:val="6"/>
    <w:qFormat/>
    <w:uiPriority w:val="0"/>
    <w:pPr>
      <w:ind w:firstLine="720" w:firstLineChars="300"/>
    </w:pPr>
    <w:rPr>
      <w:rFonts w:ascii="Times New Roman" w:hAnsi="Times New Roman"/>
    </w:rPr>
  </w:style>
  <w:style w:type="character" w:customStyle="1" w:styleId="22">
    <w:name w:val="标题 3 字符"/>
    <w:basedOn w:val="18"/>
    <w:link w:val="6"/>
    <w:qFormat/>
    <w:uiPriority w:val="0"/>
    <w:rPr>
      <w:b/>
      <w:bCs/>
      <w:sz w:val="32"/>
      <w:szCs w:val="32"/>
    </w:rPr>
  </w:style>
  <w:style w:type="character" w:customStyle="1" w:styleId="23">
    <w:name w:val="页眉 字符"/>
    <w:basedOn w:val="18"/>
    <w:link w:val="12"/>
    <w:qFormat/>
    <w:uiPriority w:val="0"/>
    <w:rPr>
      <w:sz w:val="18"/>
      <w:szCs w:val="18"/>
    </w:rPr>
  </w:style>
  <w:style w:type="character" w:customStyle="1" w:styleId="24">
    <w:name w:val="页脚 字符"/>
    <w:basedOn w:val="18"/>
    <w:link w:val="11"/>
    <w:qFormat/>
    <w:uiPriority w:val="0"/>
    <w:rPr>
      <w:sz w:val="18"/>
      <w:szCs w:val="18"/>
    </w:rPr>
  </w:style>
  <w:style w:type="character" w:customStyle="1" w:styleId="25">
    <w:name w:val="标题 1 字符"/>
    <w:basedOn w:val="18"/>
    <w:link w:val="4"/>
    <w:qFormat/>
    <w:uiPriority w:val="0"/>
    <w:rPr>
      <w:rFonts w:ascii="宋体" w:hAnsi="Calibri" w:eastAsia="宋体" w:cs="Times New Roman"/>
      <w:b/>
      <w:kern w:val="44"/>
      <w:sz w:val="44"/>
      <w:szCs w:val="44"/>
    </w:rPr>
  </w:style>
  <w:style w:type="character" w:customStyle="1" w:styleId="26">
    <w:name w:val="标题 2 字符"/>
    <w:basedOn w:val="18"/>
    <w:link w:val="5"/>
    <w:qFormat/>
    <w:uiPriority w:val="0"/>
    <w:rPr>
      <w:rFonts w:ascii="Arial" w:hAnsi="Arial" w:eastAsia="黑体" w:cs="Times New Roman"/>
      <w:b/>
      <w:kern w:val="0"/>
      <w:sz w:val="32"/>
      <w:szCs w:val="32"/>
    </w:rPr>
  </w:style>
  <w:style w:type="character" w:customStyle="1" w:styleId="27">
    <w:name w:val="正文文本缩进 字符"/>
    <w:basedOn w:val="18"/>
    <w:link w:val="3"/>
    <w:qFormat/>
    <w:uiPriority w:val="0"/>
    <w:rPr>
      <w:rFonts w:ascii="宋体" w:hAnsi="Calibri" w:eastAsia="宋体" w:cs="Times New Roman"/>
      <w:kern w:val="0"/>
      <w:sz w:val="34"/>
      <w:szCs w:val="20"/>
    </w:rPr>
  </w:style>
  <w:style w:type="character" w:customStyle="1" w:styleId="28">
    <w:name w:val="正文文本首行缩进 2 字符"/>
    <w:basedOn w:val="27"/>
    <w:link w:val="2"/>
    <w:qFormat/>
    <w:uiPriority w:val="99"/>
    <w:rPr>
      <w:rFonts w:ascii="宋体" w:hAnsi="Calibri" w:eastAsia="宋体" w:cs="Times New Roman"/>
      <w:kern w:val="0"/>
      <w:sz w:val="34"/>
      <w:szCs w:val="20"/>
    </w:rPr>
  </w:style>
  <w:style w:type="character" w:customStyle="1" w:styleId="29">
    <w:name w:val="正文文本缩进 2 字符"/>
    <w:basedOn w:val="18"/>
    <w:link w:val="10"/>
    <w:qFormat/>
    <w:uiPriority w:val="0"/>
    <w:rPr>
      <w:rFonts w:ascii="宋体" w:hAnsi="Calibri" w:eastAsia="宋体" w:cs="Times New Roman"/>
      <w:kern w:val="0"/>
      <w:sz w:val="32"/>
      <w:szCs w:val="32"/>
    </w:rPr>
  </w:style>
  <w:style w:type="character" w:customStyle="1" w:styleId="30">
    <w:name w:val="正文缩进 字符"/>
    <w:link w:val="7"/>
    <w:qFormat/>
    <w:uiPriority w:val="0"/>
    <w:rPr>
      <w:rFonts w:ascii="Times New Roman" w:hAnsi="Calibri" w:eastAsia="宋体" w:cs="Times New Roman"/>
      <w:szCs w:val="24"/>
    </w:rPr>
  </w:style>
  <w:style w:type="paragraph" w:customStyle="1" w:styleId="31">
    <w:name w:val="正文首行缩进两字符"/>
    <w:basedOn w:val="1"/>
    <w:qFormat/>
    <w:uiPriority w:val="0"/>
    <w:pPr>
      <w:spacing w:line="360" w:lineRule="auto"/>
      <w:ind w:firstLine="200" w:firstLineChars="200"/>
    </w:pPr>
    <w:rPr>
      <w:rFonts w:ascii="Times New Roman"/>
    </w:rPr>
  </w:style>
  <w:style w:type="paragraph" w:customStyle="1" w:styleId="3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33">
    <w:name w:val="样式 图表 + 五号"/>
    <w:basedOn w:val="1"/>
    <w:qFormat/>
    <w:uiPriority w:val="0"/>
    <w:pPr>
      <w:spacing w:line="320" w:lineRule="exact"/>
      <w:jc w:val="center"/>
    </w:pPr>
    <w:rPr>
      <w:spacing w:val="-10"/>
    </w:rPr>
  </w:style>
  <w:style w:type="character" w:customStyle="1" w:styleId="34">
    <w:name w:val="bulletintext1"/>
    <w:basedOn w:val="18"/>
    <w:qFormat/>
    <w:uiPriority w:val="0"/>
  </w:style>
  <w:style w:type="paragraph" w:styleId="35">
    <w:name w:val="List Paragraph"/>
    <w:basedOn w:val="1"/>
    <w:qFormat/>
    <w:uiPriority w:val="0"/>
    <w:pPr>
      <w:widowControl/>
      <w:snapToGrid w:val="0"/>
      <w:ind w:firstLine="200" w:firstLineChars="200"/>
      <w:jc w:val="left"/>
    </w:pPr>
    <w:rPr>
      <w:rFonts w:hAnsi="宋体" w:eastAsia="黑体" w:cs="宋体"/>
      <w:color w:val="0C0C0C"/>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7111</Words>
  <Characters>7496</Characters>
  <Lines>62</Lines>
  <Paragraphs>17</Paragraphs>
  <TotalTime>16</TotalTime>
  <ScaleCrop>false</ScaleCrop>
  <LinksUpToDate>false</LinksUpToDate>
  <CharactersWithSpaces>7806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2022-10-08T07:22:00Z</dcterms:created>
  <dc:creator>guan zhenyou</dc:creator>
  <cp:lastModifiedBy>Administrator</cp:lastModifiedBy>
  <dcterms:modified xsi:type="dcterms:W3CDTF">2022-10-18T02:07:34Z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8785F3364AC549DF89A38550D2382EB3</vt:lpwstr>
  </property>
</Properties>
</file>